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78A" w:rsidRDefault="0088178A" w:rsidP="00153944">
      <w:pPr>
        <w:spacing w:before="480" w:after="0" w:line="240" w:lineRule="auto"/>
      </w:pPr>
    </w:p>
    <w:p w:rsidR="00844120" w:rsidRDefault="00844120" w:rsidP="00153944">
      <w:pPr>
        <w:spacing w:after="0" w:line="240" w:lineRule="auto"/>
        <w:jc w:val="center"/>
        <w:rPr>
          <w:rFonts w:ascii="Arial" w:hAnsi="Arial" w:cs="Arial"/>
          <w:b/>
          <w:bCs/>
        </w:rPr>
      </w:pPr>
      <w:r w:rsidRPr="00A67D86">
        <w:rPr>
          <w:rFonts w:ascii="Arial" w:hAnsi="Arial" w:cs="Arial"/>
          <w:b/>
          <w:bCs/>
        </w:rPr>
        <w:t xml:space="preserve">ACUERDO </w:t>
      </w:r>
      <w:r w:rsidRPr="00E244E4">
        <w:rPr>
          <w:rFonts w:ascii="Arial" w:hAnsi="Arial" w:cs="Arial"/>
          <w:b/>
          <w:bCs/>
        </w:rPr>
        <w:t>CM/A</w:t>
      </w:r>
      <w:r w:rsidR="00CE6B95" w:rsidRPr="00E244E4">
        <w:rPr>
          <w:rFonts w:ascii="Arial" w:hAnsi="Arial" w:cs="Arial"/>
          <w:b/>
          <w:bCs/>
        </w:rPr>
        <w:t>KIL</w:t>
      </w:r>
      <w:r w:rsidRPr="00E244E4">
        <w:rPr>
          <w:rFonts w:ascii="Arial" w:hAnsi="Arial" w:cs="Arial"/>
          <w:b/>
          <w:bCs/>
        </w:rPr>
        <w:t>/0</w:t>
      </w:r>
      <w:r w:rsidR="005611A5">
        <w:rPr>
          <w:rFonts w:ascii="Arial" w:hAnsi="Arial" w:cs="Arial"/>
          <w:b/>
          <w:bCs/>
        </w:rPr>
        <w:t>0</w:t>
      </w:r>
      <w:r w:rsidR="00957D27">
        <w:rPr>
          <w:rFonts w:ascii="Arial" w:hAnsi="Arial" w:cs="Arial"/>
          <w:b/>
          <w:bCs/>
        </w:rPr>
        <w:t>9</w:t>
      </w:r>
      <w:r w:rsidRPr="00E244E4">
        <w:rPr>
          <w:rFonts w:ascii="Arial" w:hAnsi="Arial" w:cs="Arial"/>
          <w:b/>
          <w:bCs/>
        </w:rPr>
        <w:t>/2021</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b/>
          <w:bCs/>
        </w:rPr>
      </w:pPr>
      <w:r w:rsidRPr="00A67D86">
        <w:rPr>
          <w:rFonts w:ascii="Arial" w:hAnsi="Arial" w:cs="Arial"/>
          <w:b/>
          <w:bCs/>
        </w:rPr>
        <w:t xml:space="preserve">ACUERDO DEL CONSEJO MUNICIPAL ELECTORAL DE </w:t>
      </w:r>
      <w:r w:rsidRPr="00E244E4">
        <w:rPr>
          <w:rFonts w:ascii="Arial" w:hAnsi="Arial" w:cs="Arial"/>
          <w:b/>
          <w:bCs/>
        </w:rPr>
        <w:t>A</w:t>
      </w:r>
      <w:r w:rsidR="00CE6B95" w:rsidRPr="00E244E4">
        <w:rPr>
          <w:rFonts w:ascii="Arial" w:hAnsi="Arial" w:cs="Arial"/>
          <w:b/>
          <w:bCs/>
        </w:rPr>
        <w:t>KIL</w:t>
      </w:r>
      <w:r w:rsidRPr="00A67D86">
        <w:rPr>
          <w:rFonts w:ascii="Arial" w:hAnsi="Arial" w:cs="Arial"/>
          <w:b/>
          <w:bCs/>
        </w:rPr>
        <w:t xml:space="preserve">, YUCATÁN POR EL CUAL SE REGISTRA LA PLANILLA DE CANDIDATOS Y CANDIDATAS A REGIDORES POR EL PRINCIPIO DE MAYORÍA RELATIVA Y DE REPRESENTACIÓN PROPORCIONAL, POSTULADOS POR EL PARTIDO POLÍTICO </w:t>
      </w:r>
      <w:r w:rsidR="00E244E4">
        <w:rPr>
          <w:rFonts w:ascii="Arial" w:hAnsi="Arial" w:cs="Arial"/>
          <w:b/>
          <w:bCs/>
        </w:rPr>
        <w:t>MORENA</w:t>
      </w:r>
      <w:r w:rsidRPr="00A67D86">
        <w:rPr>
          <w:rFonts w:ascii="Arial" w:hAnsi="Arial" w:cs="Arial"/>
          <w:b/>
          <w:bCs/>
        </w:rPr>
        <w:t xml:space="preserve">, EN EL PROCESO ELECTORAL ORDINARIO 2020-2021, PARA INTEGRAR EL H. AYUNTAMIENTO DEL MUNICIPIO DE </w:t>
      </w:r>
      <w:r w:rsidRPr="00E244E4">
        <w:rPr>
          <w:rFonts w:ascii="Arial" w:hAnsi="Arial" w:cs="Arial"/>
          <w:b/>
          <w:bCs/>
        </w:rPr>
        <w:t>A</w:t>
      </w:r>
      <w:r w:rsidR="00CE6B95" w:rsidRPr="00E244E4">
        <w:rPr>
          <w:rFonts w:ascii="Arial" w:hAnsi="Arial" w:cs="Arial"/>
          <w:b/>
          <w:bCs/>
        </w:rPr>
        <w:t>KIL</w:t>
      </w:r>
      <w:r w:rsidRPr="00A67D86">
        <w:rPr>
          <w:rFonts w:ascii="Arial" w:hAnsi="Arial" w:cs="Arial"/>
          <w:b/>
          <w:bCs/>
        </w:rPr>
        <w:t>, YUCATÁN.</w:t>
      </w:r>
    </w:p>
    <w:p w:rsidR="00844120" w:rsidRDefault="00844120" w:rsidP="00153944">
      <w:pPr>
        <w:spacing w:after="0" w:line="240" w:lineRule="auto"/>
        <w:jc w:val="both"/>
        <w:rPr>
          <w:rFonts w:ascii="Arial" w:hAnsi="Arial" w:cs="Arial"/>
          <w:b/>
          <w:bCs/>
        </w:rPr>
      </w:pPr>
    </w:p>
    <w:p w:rsidR="0088178A" w:rsidRPr="00A67D86" w:rsidRDefault="0088178A" w:rsidP="00153944">
      <w:pPr>
        <w:spacing w:after="0" w:line="240" w:lineRule="auto"/>
        <w:jc w:val="both"/>
        <w:rPr>
          <w:rFonts w:ascii="Arial" w:hAnsi="Arial" w:cs="Arial"/>
          <w:b/>
          <w:bCs/>
        </w:rPr>
      </w:pPr>
    </w:p>
    <w:p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rsidR="0088178A" w:rsidRPr="00A67D86" w:rsidRDefault="0088178A" w:rsidP="00153944">
      <w:pPr>
        <w:spacing w:after="0" w:line="36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844120" w:rsidRDefault="00844120"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rsidR="00844120" w:rsidRDefault="00844120"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rsidR="00844120" w:rsidRDefault="00844120" w:rsidP="00153944">
      <w:pPr>
        <w:spacing w:after="0" w:line="240" w:lineRule="auto"/>
        <w:jc w:val="center"/>
        <w:rPr>
          <w:rFonts w:ascii="Arial" w:hAnsi="Arial" w:cs="Arial"/>
          <w:b/>
          <w:bCs/>
        </w:rPr>
      </w:pPr>
    </w:p>
    <w:p w:rsidR="0088178A" w:rsidRDefault="0088178A" w:rsidP="00153944">
      <w:pPr>
        <w:spacing w:after="0" w:line="240" w:lineRule="auto"/>
        <w:jc w:val="center"/>
        <w:rPr>
          <w:rFonts w:ascii="Arial" w:hAnsi="Arial" w:cs="Arial"/>
          <w:b/>
          <w:bCs/>
        </w:rPr>
      </w:pPr>
    </w:p>
    <w:p w:rsidR="00153944" w:rsidRPr="00A67D86" w:rsidRDefault="00153944" w:rsidP="00153944">
      <w:pPr>
        <w:spacing w:after="0" w:line="240" w:lineRule="auto"/>
        <w:jc w:val="center"/>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844120" w:rsidRPr="00A67D86" w:rsidRDefault="00844120" w:rsidP="00153944">
      <w:pPr>
        <w:spacing w:after="0" w:line="240" w:lineRule="auto"/>
        <w:jc w:val="both"/>
        <w:rPr>
          <w:rFonts w:ascii="Arial" w:hAnsi="Arial" w:cs="Arial"/>
        </w:rPr>
      </w:pPr>
      <w:r w:rsidRPr="00A67D86">
        <w:rPr>
          <w:rFonts w:ascii="Arial" w:hAnsi="Arial" w:cs="Arial"/>
        </w:rPr>
        <w:t xml:space="preserve">La duración de las campañas en el año de elecciones para </w:t>
      </w:r>
      <w:proofErr w:type="gramStart"/>
      <w:r w:rsidRPr="00A67D86">
        <w:rPr>
          <w:rFonts w:ascii="Arial" w:hAnsi="Arial" w:cs="Arial"/>
        </w:rPr>
        <w:t>Presidente</w:t>
      </w:r>
      <w:proofErr w:type="gramEnd"/>
      <w:r w:rsidRPr="00A67D86">
        <w:rPr>
          <w:rFonts w:ascii="Arial" w:hAnsi="Arial" w:cs="Arial"/>
        </w:rPr>
        <w:t xml:space="preserv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Pr>
          <w:rFonts w:ascii="Arial" w:hAnsi="Arial" w:cs="Arial"/>
        </w:rPr>
        <w:t xml:space="preserve"> </w:t>
      </w:r>
      <w:r w:rsidRPr="00E244E4">
        <w:rPr>
          <w:rFonts w:ascii="Arial" w:hAnsi="Arial" w:cs="Arial"/>
          <w:b/>
        </w:rPr>
        <w:t>2</w:t>
      </w:r>
      <w:r w:rsidR="00CE6B95" w:rsidRPr="00E244E4">
        <w:rPr>
          <w:rFonts w:ascii="Arial" w:hAnsi="Arial" w:cs="Arial"/>
          <w:b/>
        </w:rPr>
        <w:t>0</w:t>
      </w:r>
      <w:r w:rsidRPr="00E244E4">
        <w:rPr>
          <w:rFonts w:ascii="Arial" w:hAnsi="Arial" w:cs="Arial"/>
          <w:b/>
        </w:rPr>
        <w:t xml:space="preserve"> de enero</w:t>
      </w:r>
      <w:r w:rsidRPr="00A67D86">
        <w:rPr>
          <w:rFonts w:ascii="Arial" w:hAnsi="Arial" w:cs="Arial"/>
        </w:rPr>
        <w:t xml:space="preserve"> de</w:t>
      </w:r>
      <w:r>
        <w:rPr>
          <w:rFonts w:ascii="Arial" w:hAnsi="Arial" w:cs="Arial"/>
        </w:rPr>
        <w:t>l</w:t>
      </w:r>
      <w:r w:rsidRPr="00A67D86">
        <w:rPr>
          <w:rFonts w:ascii="Arial" w:hAnsi="Arial" w:cs="Arial"/>
        </w:rPr>
        <w:t xml:space="preserve"> dos mil ve</w:t>
      </w:r>
      <w:r>
        <w:rPr>
          <w:rFonts w:ascii="Arial" w:hAnsi="Arial" w:cs="Arial"/>
        </w:rPr>
        <w:t xml:space="preserve">intiuno el Consejo Municipal de </w:t>
      </w:r>
      <w:proofErr w:type="spellStart"/>
      <w:r w:rsidR="00CE6B95" w:rsidRPr="00E244E4">
        <w:rPr>
          <w:rFonts w:ascii="Arial" w:hAnsi="Arial" w:cs="Arial"/>
          <w:b/>
        </w:rPr>
        <w:t>Akil</w:t>
      </w:r>
      <w:proofErr w:type="spellEnd"/>
      <w:r w:rsidRPr="00A67D86">
        <w:rPr>
          <w:rFonts w:ascii="Arial" w:hAnsi="Arial" w:cs="Arial"/>
        </w:rPr>
        <w:t>, Yucatán, realizó la sesión de instalación del citado Consejo, dando inicio a sus funciones y actividades regulares.</w:t>
      </w:r>
    </w:p>
    <w:p w:rsidR="00153944" w:rsidRDefault="00153944"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rsidR="00844120" w:rsidRPr="00A67D86" w:rsidRDefault="00844120" w:rsidP="00153944">
      <w:pPr>
        <w:spacing w:after="0" w:line="240" w:lineRule="auto"/>
        <w:ind w:left="705"/>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rsidTr="001C196F">
        <w:tc>
          <w:tcPr>
            <w:tcW w:w="2942" w:type="dxa"/>
          </w:tcPr>
          <w:p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mil veintiuno. </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32.-</w:t>
      </w:r>
      <w:r w:rsidRPr="00A67D86">
        <w:rPr>
          <w:rFonts w:ascii="Arial" w:hAnsi="Arial" w:cs="Arial"/>
        </w:rPr>
        <w:t xml:space="preserve"> Que con fecha </w:t>
      </w:r>
      <w:r w:rsidR="00E244E4">
        <w:rPr>
          <w:rFonts w:ascii="Arial" w:hAnsi="Arial" w:cs="Arial"/>
        </w:rPr>
        <w:t>1</w:t>
      </w:r>
      <w:r w:rsidRPr="00A67D86">
        <w:rPr>
          <w:rFonts w:ascii="Arial" w:hAnsi="Arial" w:cs="Arial"/>
        </w:rPr>
        <w:t xml:space="preserve"> de a</w:t>
      </w:r>
      <w:r w:rsidR="00E244E4">
        <w:rPr>
          <w:rFonts w:ascii="Arial" w:hAnsi="Arial" w:cs="Arial"/>
        </w:rPr>
        <w:t>b</w:t>
      </w:r>
      <w:r w:rsidRPr="00A67D86">
        <w:rPr>
          <w:rFonts w:ascii="Arial" w:hAnsi="Arial" w:cs="Arial"/>
        </w:rPr>
        <w:t>r</w:t>
      </w:r>
      <w:r w:rsidR="00E244E4">
        <w:rPr>
          <w:rFonts w:ascii="Arial" w:hAnsi="Arial" w:cs="Arial"/>
        </w:rPr>
        <w:t>il</w:t>
      </w:r>
      <w:r w:rsidRPr="00A67D86">
        <w:rPr>
          <w:rFonts w:ascii="Arial" w:hAnsi="Arial" w:cs="Arial"/>
        </w:rPr>
        <w:t xml:space="preserve"> de dos mil veintiuno, se recibió ante este Consejo Municipal, la solicitud del Partido Político </w:t>
      </w:r>
      <w:r w:rsidR="00E244E4" w:rsidRPr="00E244E4">
        <w:rPr>
          <w:rFonts w:ascii="Arial" w:hAnsi="Arial" w:cs="Arial"/>
          <w:b/>
        </w:rPr>
        <w:t>MORENA</w:t>
      </w:r>
      <w:r w:rsidRPr="00A67D86">
        <w:rPr>
          <w:rFonts w:ascii="Arial" w:hAnsi="Arial" w:cs="Arial"/>
        </w:rPr>
        <w:t xml:space="preserve">, por medio de la cual se solicita el registro de la planilla de candidatas y candidatos a Regidores por el Principio de Mayoría Relativa y de Representación Proporcional, propietarios(as) y suplentes, para integrar el H. Ayuntamiento del municipio de </w:t>
      </w:r>
      <w:proofErr w:type="spellStart"/>
      <w:r w:rsidR="00CE6B95" w:rsidRPr="00E244E4">
        <w:rPr>
          <w:rFonts w:ascii="Arial" w:hAnsi="Arial" w:cs="Arial"/>
          <w:b/>
        </w:rPr>
        <w:t>Akil</w:t>
      </w:r>
      <w:proofErr w:type="spellEnd"/>
      <w:r w:rsidRPr="00E244E4">
        <w:rPr>
          <w:rFonts w:ascii="Arial" w:hAnsi="Arial" w:cs="Arial"/>
        </w:rPr>
        <w:t>,</w:t>
      </w:r>
      <w:r w:rsidRPr="00A67D86">
        <w:rPr>
          <w:rFonts w:ascii="Arial" w:hAnsi="Arial" w:cs="Arial"/>
        </w:rPr>
        <w:t xml:space="preserve"> Yucatán, en las elecciones a realizarse el 6 de junio de dos mil veintiuno, integrada por la siguiente ciudadanía, en el orden que a continuación se enlistan:</w:t>
      </w:r>
    </w:p>
    <w:p w:rsidR="00844120"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25"/>
        <w:gridCol w:w="4013"/>
      </w:tblGrid>
      <w:tr w:rsidR="00DA39CF" w:rsidRPr="009E5923" w:rsidTr="006B7AC5">
        <w:tc>
          <w:tcPr>
            <w:tcW w:w="790"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2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w:t>
            </w:r>
          </w:p>
        </w:tc>
        <w:tc>
          <w:tcPr>
            <w:tcW w:w="4025" w:type="dxa"/>
          </w:tcPr>
          <w:p w:rsidR="00DA39CF" w:rsidRDefault="00E244E4" w:rsidP="00153944">
            <w:pPr>
              <w:jc w:val="both"/>
              <w:rPr>
                <w:rFonts w:ascii="Arial" w:hAnsi="Arial" w:cs="Arial"/>
                <w:sz w:val="24"/>
                <w:szCs w:val="24"/>
              </w:rPr>
            </w:pPr>
            <w:r>
              <w:rPr>
                <w:rFonts w:ascii="Arial" w:hAnsi="Arial" w:cs="Arial"/>
                <w:sz w:val="24"/>
                <w:szCs w:val="24"/>
              </w:rPr>
              <w:t>EDGAR GENARO PAT COCOM</w:t>
            </w:r>
          </w:p>
        </w:tc>
        <w:tc>
          <w:tcPr>
            <w:tcW w:w="4013" w:type="dxa"/>
          </w:tcPr>
          <w:p w:rsidR="00DA39CF" w:rsidRDefault="00E244E4" w:rsidP="00153944">
            <w:pPr>
              <w:jc w:val="both"/>
              <w:rPr>
                <w:rFonts w:ascii="Arial" w:hAnsi="Arial" w:cs="Arial"/>
                <w:sz w:val="24"/>
                <w:szCs w:val="24"/>
              </w:rPr>
            </w:pPr>
            <w:r>
              <w:rPr>
                <w:rFonts w:ascii="Arial" w:hAnsi="Arial" w:cs="Arial"/>
                <w:sz w:val="24"/>
                <w:szCs w:val="24"/>
              </w:rPr>
              <w:t>VICTOR ALBERTO COUOH POOT</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2</w:t>
            </w:r>
          </w:p>
        </w:tc>
        <w:tc>
          <w:tcPr>
            <w:tcW w:w="4025" w:type="dxa"/>
          </w:tcPr>
          <w:p w:rsidR="00DA39CF" w:rsidRDefault="00E244E4" w:rsidP="00153944">
            <w:pPr>
              <w:jc w:val="both"/>
              <w:rPr>
                <w:rFonts w:ascii="Arial" w:hAnsi="Arial" w:cs="Arial"/>
                <w:sz w:val="24"/>
                <w:szCs w:val="24"/>
              </w:rPr>
            </w:pPr>
            <w:r>
              <w:rPr>
                <w:rFonts w:ascii="Arial" w:hAnsi="Arial" w:cs="Arial"/>
                <w:sz w:val="24"/>
                <w:szCs w:val="24"/>
              </w:rPr>
              <w:t>FEBE ESTHER AVILA MAY</w:t>
            </w:r>
          </w:p>
        </w:tc>
        <w:tc>
          <w:tcPr>
            <w:tcW w:w="4013" w:type="dxa"/>
          </w:tcPr>
          <w:p w:rsidR="00DA39CF" w:rsidRDefault="00E244E4" w:rsidP="00153944">
            <w:pPr>
              <w:jc w:val="both"/>
              <w:rPr>
                <w:rFonts w:ascii="Arial" w:hAnsi="Arial" w:cs="Arial"/>
                <w:sz w:val="24"/>
                <w:szCs w:val="24"/>
              </w:rPr>
            </w:pPr>
            <w:r>
              <w:rPr>
                <w:rFonts w:ascii="Arial" w:hAnsi="Arial" w:cs="Arial"/>
                <w:sz w:val="24"/>
                <w:szCs w:val="24"/>
              </w:rPr>
              <w:t>ANA LUCRECIA IX CHAN</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3</w:t>
            </w:r>
          </w:p>
        </w:tc>
        <w:tc>
          <w:tcPr>
            <w:tcW w:w="4025" w:type="dxa"/>
          </w:tcPr>
          <w:p w:rsidR="00DA39CF" w:rsidRDefault="00E244E4" w:rsidP="00153944">
            <w:pPr>
              <w:jc w:val="both"/>
              <w:rPr>
                <w:rFonts w:ascii="Arial" w:hAnsi="Arial" w:cs="Arial"/>
                <w:sz w:val="24"/>
                <w:szCs w:val="24"/>
              </w:rPr>
            </w:pPr>
            <w:r>
              <w:rPr>
                <w:rFonts w:ascii="Arial" w:hAnsi="Arial" w:cs="Arial"/>
                <w:sz w:val="24"/>
                <w:szCs w:val="24"/>
              </w:rPr>
              <w:t>MARCO ANTONIO UCAN CAMARA</w:t>
            </w:r>
          </w:p>
        </w:tc>
        <w:tc>
          <w:tcPr>
            <w:tcW w:w="4013" w:type="dxa"/>
          </w:tcPr>
          <w:p w:rsidR="00DA39CF" w:rsidRDefault="00E244E4" w:rsidP="00153944">
            <w:pPr>
              <w:jc w:val="both"/>
              <w:rPr>
                <w:rFonts w:ascii="Arial" w:hAnsi="Arial" w:cs="Arial"/>
                <w:sz w:val="24"/>
                <w:szCs w:val="24"/>
              </w:rPr>
            </w:pPr>
            <w:r>
              <w:rPr>
                <w:rFonts w:ascii="Arial" w:hAnsi="Arial" w:cs="Arial"/>
                <w:sz w:val="24"/>
                <w:szCs w:val="24"/>
              </w:rPr>
              <w:t>ALBERTO ISAAC LERIN ACOSTA</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4</w:t>
            </w:r>
          </w:p>
        </w:tc>
        <w:tc>
          <w:tcPr>
            <w:tcW w:w="4025" w:type="dxa"/>
          </w:tcPr>
          <w:p w:rsidR="00DA39CF" w:rsidRDefault="00E244E4" w:rsidP="00153944">
            <w:pPr>
              <w:jc w:val="both"/>
              <w:rPr>
                <w:rFonts w:ascii="Arial" w:hAnsi="Arial" w:cs="Arial"/>
                <w:sz w:val="24"/>
                <w:szCs w:val="24"/>
              </w:rPr>
            </w:pPr>
            <w:r>
              <w:rPr>
                <w:rFonts w:ascii="Arial" w:hAnsi="Arial" w:cs="Arial"/>
                <w:sz w:val="24"/>
                <w:szCs w:val="24"/>
              </w:rPr>
              <w:t xml:space="preserve">LUISA MARBELLA CHAN </w:t>
            </w:r>
            <w:proofErr w:type="spellStart"/>
            <w:r>
              <w:rPr>
                <w:rFonts w:ascii="Arial" w:hAnsi="Arial" w:cs="Arial"/>
                <w:sz w:val="24"/>
                <w:szCs w:val="24"/>
              </w:rPr>
              <w:t>CHAN</w:t>
            </w:r>
            <w:proofErr w:type="spellEnd"/>
          </w:p>
        </w:tc>
        <w:tc>
          <w:tcPr>
            <w:tcW w:w="4013" w:type="dxa"/>
          </w:tcPr>
          <w:p w:rsidR="00DA39CF" w:rsidRDefault="00E244E4" w:rsidP="00153944">
            <w:pPr>
              <w:jc w:val="both"/>
              <w:rPr>
                <w:rFonts w:ascii="Arial" w:hAnsi="Arial" w:cs="Arial"/>
                <w:sz w:val="24"/>
                <w:szCs w:val="24"/>
              </w:rPr>
            </w:pPr>
            <w:r>
              <w:rPr>
                <w:rFonts w:ascii="Arial" w:hAnsi="Arial" w:cs="Arial"/>
                <w:sz w:val="24"/>
                <w:szCs w:val="24"/>
              </w:rPr>
              <w:t>DANIELA NOEMI COLLI COCOM</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5</w:t>
            </w:r>
          </w:p>
        </w:tc>
        <w:tc>
          <w:tcPr>
            <w:tcW w:w="4025" w:type="dxa"/>
          </w:tcPr>
          <w:p w:rsidR="00DA39CF" w:rsidRDefault="00E244E4" w:rsidP="00153944">
            <w:pPr>
              <w:jc w:val="both"/>
              <w:rPr>
                <w:rFonts w:ascii="Arial" w:hAnsi="Arial" w:cs="Arial"/>
                <w:sz w:val="24"/>
                <w:szCs w:val="24"/>
              </w:rPr>
            </w:pPr>
            <w:r>
              <w:rPr>
                <w:rFonts w:ascii="Arial" w:hAnsi="Arial" w:cs="Arial"/>
                <w:sz w:val="24"/>
                <w:szCs w:val="24"/>
              </w:rPr>
              <w:t>MARIO POOT GOMEZ</w:t>
            </w:r>
          </w:p>
        </w:tc>
        <w:tc>
          <w:tcPr>
            <w:tcW w:w="4013" w:type="dxa"/>
          </w:tcPr>
          <w:p w:rsidR="00DA39CF" w:rsidRDefault="00BB6622" w:rsidP="00153944">
            <w:pPr>
              <w:jc w:val="both"/>
              <w:rPr>
                <w:rFonts w:ascii="Arial" w:hAnsi="Arial" w:cs="Arial"/>
                <w:sz w:val="24"/>
                <w:szCs w:val="24"/>
              </w:rPr>
            </w:pPr>
            <w:r>
              <w:rPr>
                <w:rFonts w:ascii="Arial" w:hAnsi="Arial" w:cs="Arial"/>
                <w:sz w:val="24"/>
                <w:szCs w:val="24"/>
              </w:rPr>
              <w:t>ALEJANDRO DOMINGUEZ CHAN</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6</w:t>
            </w:r>
          </w:p>
        </w:tc>
        <w:tc>
          <w:tcPr>
            <w:tcW w:w="4025" w:type="dxa"/>
          </w:tcPr>
          <w:p w:rsidR="00DA39CF" w:rsidRDefault="00BB6622" w:rsidP="00153944">
            <w:pPr>
              <w:jc w:val="both"/>
              <w:rPr>
                <w:rFonts w:ascii="Arial" w:hAnsi="Arial" w:cs="Arial"/>
                <w:sz w:val="24"/>
                <w:szCs w:val="24"/>
              </w:rPr>
            </w:pPr>
            <w:r>
              <w:rPr>
                <w:rFonts w:ascii="Arial" w:hAnsi="Arial" w:cs="Arial"/>
                <w:sz w:val="24"/>
                <w:szCs w:val="24"/>
              </w:rPr>
              <w:t>GENY ROSALBA PUC NAVARRETE</w:t>
            </w:r>
          </w:p>
        </w:tc>
        <w:tc>
          <w:tcPr>
            <w:tcW w:w="4013" w:type="dxa"/>
          </w:tcPr>
          <w:p w:rsidR="00DA39CF" w:rsidRDefault="00BB6622" w:rsidP="00153944">
            <w:pPr>
              <w:jc w:val="both"/>
              <w:rPr>
                <w:rFonts w:ascii="Arial" w:hAnsi="Arial" w:cs="Arial"/>
                <w:sz w:val="24"/>
                <w:szCs w:val="24"/>
              </w:rPr>
            </w:pPr>
            <w:r>
              <w:rPr>
                <w:rFonts w:ascii="Arial" w:hAnsi="Arial" w:cs="Arial"/>
                <w:sz w:val="24"/>
                <w:szCs w:val="24"/>
              </w:rPr>
              <w:t>YAZMIN NOEMI XOOL CHAN</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7</w:t>
            </w:r>
          </w:p>
        </w:tc>
        <w:tc>
          <w:tcPr>
            <w:tcW w:w="4025" w:type="dxa"/>
          </w:tcPr>
          <w:p w:rsidR="00DA39CF" w:rsidRDefault="00BB6622" w:rsidP="00153944">
            <w:pPr>
              <w:jc w:val="both"/>
              <w:rPr>
                <w:rFonts w:ascii="Arial" w:hAnsi="Arial" w:cs="Arial"/>
                <w:sz w:val="24"/>
                <w:szCs w:val="24"/>
              </w:rPr>
            </w:pPr>
            <w:r>
              <w:rPr>
                <w:rFonts w:ascii="Arial" w:hAnsi="Arial" w:cs="Arial"/>
                <w:sz w:val="24"/>
                <w:szCs w:val="24"/>
              </w:rPr>
              <w:t>JOEL ISRAEL NAVARRETE ALVARADO</w:t>
            </w:r>
          </w:p>
        </w:tc>
        <w:tc>
          <w:tcPr>
            <w:tcW w:w="4013" w:type="dxa"/>
          </w:tcPr>
          <w:p w:rsidR="00DA39CF" w:rsidRDefault="00BB6622" w:rsidP="00153944">
            <w:pPr>
              <w:jc w:val="both"/>
              <w:rPr>
                <w:rFonts w:ascii="Arial" w:hAnsi="Arial" w:cs="Arial"/>
                <w:sz w:val="24"/>
                <w:szCs w:val="24"/>
              </w:rPr>
            </w:pPr>
            <w:r>
              <w:rPr>
                <w:rFonts w:ascii="Arial" w:hAnsi="Arial" w:cs="Arial"/>
                <w:sz w:val="24"/>
                <w:szCs w:val="24"/>
              </w:rPr>
              <w:t>RODOLFO CHAN ZAPATA</w:t>
            </w:r>
          </w:p>
        </w:tc>
      </w:tr>
    </w:tbl>
    <w:p w:rsidR="00DA39CF" w:rsidRDefault="00DA39CF" w:rsidP="00153944">
      <w:pPr>
        <w:jc w:val="both"/>
        <w:rPr>
          <w:rFonts w:ascii="Arial" w:hAnsi="Arial" w:cs="Arial"/>
          <w:sz w:val="24"/>
          <w:szCs w:val="24"/>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25"/>
        <w:gridCol w:w="4013"/>
      </w:tblGrid>
      <w:tr w:rsidR="00DA39CF" w:rsidRPr="009E5923" w:rsidTr="006B7AC5">
        <w:tc>
          <w:tcPr>
            <w:tcW w:w="790"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2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8</w:t>
            </w:r>
          </w:p>
        </w:tc>
        <w:tc>
          <w:tcPr>
            <w:tcW w:w="4025" w:type="dxa"/>
          </w:tcPr>
          <w:p w:rsidR="00DA39CF" w:rsidRDefault="00BB6622" w:rsidP="00153944">
            <w:pPr>
              <w:jc w:val="both"/>
              <w:rPr>
                <w:rFonts w:ascii="Arial" w:hAnsi="Arial" w:cs="Arial"/>
                <w:sz w:val="24"/>
                <w:szCs w:val="24"/>
              </w:rPr>
            </w:pPr>
            <w:r>
              <w:rPr>
                <w:rFonts w:ascii="Arial" w:hAnsi="Arial" w:cs="Arial"/>
                <w:sz w:val="24"/>
                <w:szCs w:val="24"/>
              </w:rPr>
              <w:t>SOEMY CERVANTES CAB</w:t>
            </w:r>
          </w:p>
        </w:tc>
        <w:tc>
          <w:tcPr>
            <w:tcW w:w="4013" w:type="dxa"/>
          </w:tcPr>
          <w:p w:rsidR="00DA39CF" w:rsidRDefault="00BB6622" w:rsidP="00153944">
            <w:pPr>
              <w:jc w:val="both"/>
              <w:rPr>
                <w:rFonts w:ascii="Arial" w:hAnsi="Arial" w:cs="Arial"/>
                <w:sz w:val="24"/>
                <w:szCs w:val="24"/>
              </w:rPr>
            </w:pPr>
            <w:r>
              <w:rPr>
                <w:rFonts w:ascii="Arial" w:hAnsi="Arial" w:cs="Arial"/>
                <w:sz w:val="24"/>
                <w:szCs w:val="24"/>
              </w:rPr>
              <w:t>MELISSA YANETH COLLI NAVARRETE</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9</w:t>
            </w:r>
          </w:p>
        </w:tc>
        <w:tc>
          <w:tcPr>
            <w:tcW w:w="4025" w:type="dxa"/>
          </w:tcPr>
          <w:p w:rsidR="00DA39CF" w:rsidRDefault="00BB6622" w:rsidP="00153944">
            <w:pPr>
              <w:jc w:val="both"/>
              <w:rPr>
                <w:rFonts w:ascii="Arial" w:hAnsi="Arial" w:cs="Arial"/>
                <w:sz w:val="24"/>
                <w:szCs w:val="24"/>
              </w:rPr>
            </w:pPr>
            <w:r>
              <w:rPr>
                <w:rFonts w:ascii="Arial" w:hAnsi="Arial" w:cs="Arial"/>
                <w:sz w:val="24"/>
                <w:szCs w:val="24"/>
              </w:rPr>
              <w:t>OBED NEHEMIAS CHAN NIC</w:t>
            </w:r>
          </w:p>
        </w:tc>
        <w:tc>
          <w:tcPr>
            <w:tcW w:w="4013" w:type="dxa"/>
          </w:tcPr>
          <w:p w:rsidR="00DA39CF" w:rsidRDefault="00BB6622" w:rsidP="00153944">
            <w:pPr>
              <w:jc w:val="both"/>
              <w:rPr>
                <w:rFonts w:ascii="Arial" w:hAnsi="Arial" w:cs="Arial"/>
                <w:sz w:val="24"/>
                <w:szCs w:val="24"/>
              </w:rPr>
            </w:pPr>
            <w:r>
              <w:rPr>
                <w:rFonts w:ascii="Arial" w:hAnsi="Arial" w:cs="Arial"/>
                <w:sz w:val="24"/>
                <w:szCs w:val="24"/>
              </w:rPr>
              <w:t>HERMELINDO SULUB CANCHE</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10</w:t>
            </w:r>
          </w:p>
        </w:tc>
        <w:tc>
          <w:tcPr>
            <w:tcW w:w="4025" w:type="dxa"/>
          </w:tcPr>
          <w:p w:rsidR="00DA39CF" w:rsidRDefault="00BB6622" w:rsidP="00153944">
            <w:pPr>
              <w:jc w:val="both"/>
              <w:rPr>
                <w:rFonts w:ascii="Arial" w:hAnsi="Arial" w:cs="Arial"/>
                <w:sz w:val="24"/>
                <w:szCs w:val="24"/>
              </w:rPr>
            </w:pPr>
            <w:r>
              <w:rPr>
                <w:rFonts w:ascii="Arial" w:hAnsi="Arial" w:cs="Arial"/>
                <w:sz w:val="24"/>
                <w:szCs w:val="24"/>
              </w:rPr>
              <w:t>MARIA GUADALUPE COCOM CHAN</w:t>
            </w:r>
          </w:p>
        </w:tc>
        <w:tc>
          <w:tcPr>
            <w:tcW w:w="4013" w:type="dxa"/>
          </w:tcPr>
          <w:p w:rsidR="00DA39CF" w:rsidRDefault="00BB6622" w:rsidP="00153944">
            <w:pPr>
              <w:jc w:val="both"/>
              <w:rPr>
                <w:rFonts w:ascii="Arial" w:hAnsi="Arial" w:cs="Arial"/>
                <w:sz w:val="24"/>
                <w:szCs w:val="24"/>
              </w:rPr>
            </w:pPr>
            <w:r>
              <w:rPr>
                <w:rFonts w:ascii="Arial" w:hAnsi="Arial" w:cs="Arial"/>
                <w:sz w:val="24"/>
                <w:szCs w:val="24"/>
              </w:rPr>
              <w:t>MARIA REINALDA NOVELO COUOH</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11</w:t>
            </w:r>
          </w:p>
        </w:tc>
        <w:tc>
          <w:tcPr>
            <w:tcW w:w="4025" w:type="dxa"/>
          </w:tcPr>
          <w:p w:rsidR="00DA39CF" w:rsidRDefault="00BB6622" w:rsidP="00153944">
            <w:pPr>
              <w:jc w:val="both"/>
              <w:rPr>
                <w:rFonts w:ascii="Arial" w:hAnsi="Arial" w:cs="Arial"/>
                <w:sz w:val="24"/>
                <w:szCs w:val="24"/>
              </w:rPr>
            </w:pPr>
            <w:r>
              <w:rPr>
                <w:rFonts w:ascii="Arial" w:hAnsi="Arial" w:cs="Arial"/>
                <w:sz w:val="24"/>
                <w:szCs w:val="24"/>
              </w:rPr>
              <w:t>MIGUEL ARCANGEL BALAM LOPEZ</w:t>
            </w:r>
          </w:p>
        </w:tc>
        <w:tc>
          <w:tcPr>
            <w:tcW w:w="4013" w:type="dxa"/>
          </w:tcPr>
          <w:p w:rsidR="00DA39CF" w:rsidRDefault="00BB6622" w:rsidP="00153944">
            <w:pPr>
              <w:jc w:val="both"/>
              <w:rPr>
                <w:rFonts w:ascii="Arial" w:hAnsi="Arial" w:cs="Arial"/>
                <w:sz w:val="24"/>
                <w:szCs w:val="24"/>
              </w:rPr>
            </w:pPr>
            <w:proofErr w:type="gramStart"/>
            <w:r>
              <w:rPr>
                <w:rFonts w:ascii="Arial" w:hAnsi="Arial" w:cs="Arial"/>
                <w:sz w:val="24"/>
                <w:szCs w:val="24"/>
              </w:rPr>
              <w:t>RUDY  AMILCAR</w:t>
            </w:r>
            <w:proofErr w:type="gramEnd"/>
            <w:r>
              <w:rPr>
                <w:rFonts w:ascii="Arial" w:hAnsi="Arial" w:cs="Arial"/>
                <w:sz w:val="24"/>
                <w:szCs w:val="24"/>
              </w:rPr>
              <w:t xml:space="preserve"> POOT ORTEGON</w:t>
            </w:r>
          </w:p>
        </w:tc>
      </w:tr>
    </w:tbl>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723CAE" w:rsidRDefault="00723CAE" w:rsidP="00153944">
      <w:pPr>
        <w:spacing w:after="0" w:line="240" w:lineRule="auto"/>
        <w:jc w:val="both"/>
        <w:rPr>
          <w:rFonts w:ascii="Arial" w:hAnsi="Arial" w:cs="Arial"/>
        </w:rPr>
      </w:pPr>
    </w:p>
    <w:p w:rsidR="00723CAE" w:rsidRDefault="00723CAE" w:rsidP="00153944">
      <w:pPr>
        <w:spacing w:after="0" w:line="240" w:lineRule="auto"/>
        <w:jc w:val="both"/>
        <w:rPr>
          <w:rFonts w:ascii="Arial" w:hAnsi="Arial" w:cs="Arial"/>
        </w:rPr>
      </w:pPr>
    </w:p>
    <w:p w:rsidR="00723CAE" w:rsidRPr="00A67D86" w:rsidRDefault="00723CAE"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bookmarkStart w:id="0" w:name="_GoBack"/>
      <w:bookmarkEnd w:id="0"/>
      <w:r w:rsidRPr="00A67D86">
        <w:rPr>
          <w:rFonts w:ascii="Arial" w:hAnsi="Arial" w:cs="Arial"/>
          <w:b/>
          <w:bCs/>
        </w:rPr>
        <w:t>3</w:t>
      </w:r>
      <w:r w:rsidR="00723CAE">
        <w:rPr>
          <w:rFonts w:ascii="Arial" w:hAnsi="Arial" w:cs="Arial"/>
          <w:b/>
          <w:bCs/>
        </w:rPr>
        <w:t>4</w:t>
      </w:r>
      <w:r w:rsidRPr="00A67D86">
        <w:rPr>
          <w:rFonts w:ascii="Arial" w:hAnsi="Arial" w:cs="Arial"/>
          <w:b/>
          <w:bCs/>
        </w:rPr>
        <w:t>.-</w:t>
      </w:r>
      <w:r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BB6622" w:rsidRPr="00BB6622">
        <w:rPr>
          <w:rFonts w:ascii="Arial" w:hAnsi="Arial" w:cs="Arial"/>
          <w:b/>
        </w:rPr>
        <w:t>MORENA</w:t>
      </w:r>
      <w:r w:rsidRPr="00A67D86">
        <w:rPr>
          <w:rFonts w:ascii="Arial" w:hAnsi="Arial" w:cs="Arial"/>
        </w:rPr>
        <w:t xml:space="preserve">, para integrar el H. Ayuntamiento del municipio de </w:t>
      </w:r>
      <w:proofErr w:type="spellStart"/>
      <w:r w:rsidR="00CE6B95" w:rsidRPr="00BB6622">
        <w:rPr>
          <w:rFonts w:ascii="Arial" w:hAnsi="Arial" w:cs="Arial"/>
          <w:b/>
        </w:rPr>
        <w:t>Akil</w:t>
      </w:r>
      <w:proofErr w:type="spellEnd"/>
      <w:r w:rsidRPr="00A67D86">
        <w:rPr>
          <w:rFonts w:ascii="Arial" w:hAnsi="Arial" w:cs="Arial"/>
        </w:rPr>
        <w:t>, Yucatán, en las elecciones a realizarse el día seis de junio de</w:t>
      </w:r>
      <w:r w:rsidR="00B87555">
        <w:rPr>
          <w:rFonts w:ascii="Arial" w:hAnsi="Arial" w:cs="Arial"/>
        </w:rPr>
        <w:t>l</w:t>
      </w:r>
      <w:r w:rsidRPr="00A67D86">
        <w:rPr>
          <w:rFonts w:ascii="Arial" w:hAnsi="Arial" w:cs="Arial"/>
        </w:rPr>
        <w:t xml:space="preserve"> dos mil veintiuno.</w:t>
      </w:r>
    </w:p>
    <w:p w:rsidR="00844120" w:rsidRDefault="00844120" w:rsidP="00153944">
      <w:pPr>
        <w:spacing w:after="0" w:line="240" w:lineRule="auto"/>
        <w:jc w:val="both"/>
        <w:rPr>
          <w:rFonts w:ascii="Arial" w:hAnsi="Arial" w:cs="Arial"/>
        </w:rPr>
      </w:pPr>
      <w:r w:rsidRPr="00A67D86">
        <w:rPr>
          <w:rFonts w:ascii="Arial" w:hAnsi="Arial" w:cs="Arial"/>
        </w:rPr>
        <w:t xml:space="preserve">Por lo anteriormente expuesto y fundado, el Consejo Electoral Municipal de </w:t>
      </w:r>
      <w:proofErr w:type="spellStart"/>
      <w:r w:rsidR="00CE6B95" w:rsidRPr="00BB6622">
        <w:rPr>
          <w:rFonts w:ascii="Arial" w:hAnsi="Arial" w:cs="Arial"/>
          <w:b/>
        </w:rPr>
        <w:t>Akil</w:t>
      </w:r>
      <w:proofErr w:type="spellEnd"/>
      <w:r w:rsidRPr="00BB6622">
        <w:rPr>
          <w:rFonts w:ascii="Arial" w:hAnsi="Arial" w:cs="Arial"/>
        </w:rPr>
        <w:t>,</w:t>
      </w:r>
      <w:r w:rsidRPr="00A67D86">
        <w:rPr>
          <w:rFonts w:ascii="Arial" w:hAnsi="Arial" w:cs="Arial"/>
        </w:rPr>
        <w:t xml:space="preserve"> Yucatán, emite el siguiente:</w:t>
      </w:r>
    </w:p>
    <w:p w:rsidR="00B87555" w:rsidRPr="00A67D86" w:rsidRDefault="00B87555" w:rsidP="00153944">
      <w:pPr>
        <w:spacing w:after="0" w:line="240" w:lineRule="auto"/>
        <w:jc w:val="both"/>
        <w:rPr>
          <w:rFonts w:ascii="Arial" w:hAnsi="Arial" w:cs="Arial"/>
        </w:rPr>
      </w:pPr>
    </w:p>
    <w:p w:rsidR="009D0AEE" w:rsidRPr="00A67D86" w:rsidRDefault="009D0AEE"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ACUERDO</w:t>
      </w:r>
    </w:p>
    <w:p w:rsidR="00B87555" w:rsidRDefault="00B87555" w:rsidP="00153944">
      <w:pPr>
        <w:spacing w:after="0" w:line="240" w:lineRule="auto"/>
        <w:jc w:val="center"/>
        <w:rPr>
          <w:rFonts w:ascii="Arial" w:hAnsi="Arial" w:cs="Arial"/>
          <w:b/>
          <w:bCs/>
        </w:rPr>
      </w:pPr>
    </w:p>
    <w:p w:rsidR="00B87555" w:rsidRPr="00A67D86" w:rsidRDefault="00B87555"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postulada por el Partido Político </w:t>
      </w:r>
      <w:r w:rsidR="00BB6622" w:rsidRPr="00BB6622">
        <w:rPr>
          <w:rFonts w:ascii="Arial" w:hAnsi="Arial" w:cs="Arial"/>
          <w:b/>
        </w:rPr>
        <w:t>MORENA</w:t>
      </w:r>
      <w:r w:rsidRPr="00A67D86">
        <w:rPr>
          <w:rFonts w:ascii="Arial" w:hAnsi="Arial" w:cs="Arial"/>
        </w:rPr>
        <w:t xml:space="preserve">, en el Proceso Electoral Ordinario 2020-2021 para integrar el H. Ayuntamiento de </w:t>
      </w:r>
      <w:proofErr w:type="spellStart"/>
      <w:r w:rsidR="00CE6B95" w:rsidRPr="00BB6622">
        <w:rPr>
          <w:rFonts w:ascii="Arial" w:hAnsi="Arial" w:cs="Arial"/>
          <w:b/>
        </w:rPr>
        <w:t>Akil</w:t>
      </w:r>
      <w:proofErr w:type="spellEnd"/>
      <w:r w:rsidRPr="00A67D86">
        <w:rPr>
          <w:rFonts w:ascii="Arial" w:hAnsi="Arial" w:cs="Arial"/>
        </w:rPr>
        <w:t>, Yucatán, la cual se encuentra conformada por la siguiente ciudadanía en el orden que a continuación se mención:</w:t>
      </w:r>
    </w:p>
    <w:p w:rsidR="00844120" w:rsidRDefault="00844120" w:rsidP="00153944">
      <w:pPr>
        <w:spacing w:after="0" w:line="240" w:lineRule="auto"/>
        <w:jc w:val="both"/>
        <w:rPr>
          <w:rFonts w:ascii="Arial" w:hAnsi="Arial" w:cs="Arial"/>
        </w:rPr>
      </w:pPr>
    </w:p>
    <w:p w:rsidR="00BB6622" w:rsidRPr="009E5923" w:rsidRDefault="00BB6622" w:rsidP="00BB6622">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25"/>
        <w:gridCol w:w="4013"/>
      </w:tblGrid>
      <w:tr w:rsidR="00BB6622" w:rsidRPr="009E5923" w:rsidTr="002A1E60">
        <w:tc>
          <w:tcPr>
            <w:tcW w:w="790" w:type="dxa"/>
          </w:tcPr>
          <w:p w:rsidR="00BB6622" w:rsidRPr="009E5923" w:rsidRDefault="00BB6622" w:rsidP="002A1E60">
            <w:pPr>
              <w:jc w:val="both"/>
              <w:rPr>
                <w:rFonts w:ascii="Arial" w:hAnsi="Arial" w:cs="Arial"/>
                <w:b/>
                <w:bCs/>
                <w:sz w:val="24"/>
                <w:szCs w:val="24"/>
              </w:rPr>
            </w:pPr>
            <w:r w:rsidRPr="009E5923">
              <w:rPr>
                <w:rFonts w:ascii="Arial" w:hAnsi="Arial" w:cs="Arial"/>
                <w:b/>
                <w:bCs/>
                <w:sz w:val="24"/>
                <w:szCs w:val="24"/>
              </w:rPr>
              <w:t>Núm.</w:t>
            </w:r>
          </w:p>
        </w:tc>
        <w:tc>
          <w:tcPr>
            <w:tcW w:w="4025" w:type="dxa"/>
          </w:tcPr>
          <w:p w:rsidR="00BB6622" w:rsidRPr="009E5923" w:rsidRDefault="00BB6622" w:rsidP="002A1E60">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BB6622" w:rsidRPr="009E5923" w:rsidRDefault="00BB6622" w:rsidP="002A1E60">
            <w:pPr>
              <w:jc w:val="both"/>
              <w:rPr>
                <w:rFonts w:ascii="Arial" w:hAnsi="Arial" w:cs="Arial"/>
                <w:b/>
                <w:bCs/>
                <w:sz w:val="24"/>
                <w:szCs w:val="24"/>
              </w:rPr>
            </w:pPr>
            <w:r w:rsidRPr="009E5923">
              <w:rPr>
                <w:rFonts w:ascii="Arial" w:hAnsi="Arial" w:cs="Arial"/>
                <w:b/>
                <w:bCs/>
                <w:sz w:val="24"/>
                <w:szCs w:val="24"/>
              </w:rPr>
              <w:t>REGIDURÍAS DE SUPLENTES</w:t>
            </w:r>
          </w:p>
        </w:tc>
      </w:tr>
      <w:tr w:rsidR="00BB6622" w:rsidTr="002A1E60">
        <w:tc>
          <w:tcPr>
            <w:tcW w:w="790" w:type="dxa"/>
          </w:tcPr>
          <w:p w:rsidR="00BB6622" w:rsidRPr="00366A23" w:rsidRDefault="00BB6622" w:rsidP="002A1E60">
            <w:pPr>
              <w:jc w:val="both"/>
              <w:rPr>
                <w:rFonts w:ascii="Arial" w:hAnsi="Arial" w:cs="Arial"/>
                <w:b/>
                <w:bCs/>
                <w:sz w:val="24"/>
                <w:szCs w:val="24"/>
              </w:rPr>
            </w:pPr>
            <w:r w:rsidRPr="00366A23">
              <w:rPr>
                <w:rFonts w:ascii="Arial" w:hAnsi="Arial" w:cs="Arial"/>
                <w:b/>
                <w:bCs/>
                <w:sz w:val="24"/>
                <w:szCs w:val="24"/>
              </w:rPr>
              <w:t>1</w:t>
            </w:r>
          </w:p>
        </w:tc>
        <w:tc>
          <w:tcPr>
            <w:tcW w:w="4025" w:type="dxa"/>
          </w:tcPr>
          <w:p w:rsidR="00BB6622" w:rsidRDefault="00BB6622" w:rsidP="002A1E60">
            <w:pPr>
              <w:jc w:val="both"/>
              <w:rPr>
                <w:rFonts w:ascii="Arial" w:hAnsi="Arial" w:cs="Arial"/>
                <w:sz w:val="24"/>
                <w:szCs w:val="24"/>
              </w:rPr>
            </w:pPr>
            <w:r>
              <w:rPr>
                <w:rFonts w:ascii="Arial" w:hAnsi="Arial" w:cs="Arial"/>
                <w:sz w:val="24"/>
                <w:szCs w:val="24"/>
              </w:rPr>
              <w:t>EDGAR GENARO PAT COCOM</w:t>
            </w:r>
          </w:p>
        </w:tc>
        <w:tc>
          <w:tcPr>
            <w:tcW w:w="4013" w:type="dxa"/>
          </w:tcPr>
          <w:p w:rsidR="00BB6622" w:rsidRDefault="00BB6622" w:rsidP="002A1E60">
            <w:pPr>
              <w:jc w:val="both"/>
              <w:rPr>
                <w:rFonts w:ascii="Arial" w:hAnsi="Arial" w:cs="Arial"/>
                <w:sz w:val="24"/>
                <w:szCs w:val="24"/>
              </w:rPr>
            </w:pPr>
            <w:r>
              <w:rPr>
                <w:rFonts w:ascii="Arial" w:hAnsi="Arial" w:cs="Arial"/>
                <w:sz w:val="24"/>
                <w:szCs w:val="24"/>
              </w:rPr>
              <w:t>VICTOR ALBERTO COUOH POOT</w:t>
            </w:r>
          </w:p>
        </w:tc>
      </w:tr>
      <w:tr w:rsidR="00BB6622" w:rsidTr="002A1E60">
        <w:tc>
          <w:tcPr>
            <w:tcW w:w="790" w:type="dxa"/>
          </w:tcPr>
          <w:p w:rsidR="00BB6622" w:rsidRPr="00366A23" w:rsidRDefault="00BB6622" w:rsidP="002A1E60">
            <w:pPr>
              <w:jc w:val="both"/>
              <w:rPr>
                <w:rFonts w:ascii="Arial" w:hAnsi="Arial" w:cs="Arial"/>
                <w:b/>
                <w:bCs/>
                <w:sz w:val="24"/>
                <w:szCs w:val="24"/>
              </w:rPr>
            </w:pPr>
            <w:r w:rsidRPr="00366A23">
              <w:rPr>
                <w:rFonts w:ascii="Arial" w:hAnsi="Arial" w:cs="Arial"/>
                <w:b/>
                <w:bCs/>
                <w:sz w:val="24"/>
                <w:szCs w:val="24"/>
              </w:rPr>
              <w:t>2</w:t>
            </w:r>
          </w:p>
        </w:tc>
        <w:tc>
          <w:tcPr>
            <w:tcW w:w="4025" w:type="dxa"/>
          </w:tcPr>
          <w:p w:rsidR="00BB6622" w:rsidRDefault="00BB6622" w:rsidP="002A1E60">
            <w:pPr>
              <w:jc w:val="both"/>
              <w:rPr>
                <w:rFonts w:ascii="Arial" w:hAnsi="Arial" w:cs="Arial"/>
                <w:sz w:val="24"/>
                <w:szCs w:val="24"/>
              </w:rPr>
            </w:pPr>
            <w:r>
              <w:rPr>
                <w:rFonts w:ascii="Arial" w:hAnsi="Arial" w:cs="Arial"/>
                <w:sz w:val="24"/>
                <w:szCs w:val="24"/>
              </w:rPr>
              <w:t>FEBE ESTHER AVILA MAY</w:t>
            </w:r>
          </w:p>
        </w:tc>
        <w:tc>
          <w:tcPr>
            <w:tcW w:w="4013" w:type="dxa"/>
          </w:tcPr>
          <w:p w:rsidR="00BB6622" w:rsidRDefault="00BB6622" w:rsidP="002A1E60">
            <w:pPr>
              <w:jc w:val="both"/>
              <w:rPr>
                <w:rFonts w:ascii="Arial" w:hAnsi="Arial" w:cs="Arial"/>
                <w:sz w:val="24"/>
                <w:szCs w:val="24"/>
              </w:rPr>
            </w:pPr>
            <w:r>
              <w:rPr>
                <w:rFonts w:ascii="Arial" w:hAnsi="Arial" w:cs="Arial"/>
                <w:sz w:val="24"/>
                <w:szCs w:val="24"/>
              </w:rPr>
              <w:t>ANA LUCRECIA IX CHAN</w:t>
            </w:r>
          </w:p>
        </w:tc>
      </w:tr>
      <w:tr w:rsidR="00BB6622" w:rsidTr="002A1E60">
        <w:tc>
          <w:tcPr>
            <w:tcW w:w="790" w:type="dxa"/>
          </w:tcPr>
          <w:p w:rsidR="00BB6622" w:rsidRPr="00366A23" w:rsidRDefault="00BB6622" w:rsidP="002A1E60">
            <w:pPr>
              <w:jc w:val="both"/>
              <w:rPr>
                <w:rFonts w:ascii="Arial" w:hAnsi="Arial" w:cs="Arial"/>
                <w:b/>
                <w:bCs/>
                <w:sz w:val="24"/>
                <w:szCs w:val="24"/>
              </w:rPr>
            </w:pPr>
            <w:r w:rsidRPr="00366A23">
              <w:rPr>
                <w:rFonts w:ascii="Arial" w:hAnsi="Arial" w:cs="Arial"/>
                <w:b/>
                <w:bCs/>
                <w:sz w:val="24"/>
                <w:szCs w:val="24"/>
              </w:rPr>
              <w:t>3</w:t>
            </w:r>
          </w:p>
        </w:tc>
        <w:tc>
          <w:tcPr>
            <w:tcW w:w="4025" w:type="dxa"/>
          </w:tcPr>
          <w:p w:rsidR="00BB6622" w:rsidRDefault="00BB6622" w:rsidP="002A1E60">
            <w:pPr>
              <w:jc w:val="both"/>
              <w:rPr>
                <w:rFonts w:ascii="Arial" w:hAnsi="Arial" w:cs="Arial"/>
                <w:sz w:val="24"/>
                <w:szCs w:val="24"/>
              </w:rPr>
            </w:pPr>
            <w:r>
              <w:rPr>
                <w:rFonts w:ascii="Arial" w:hAnsi="Arial" w:cs="Arial"/>
                <w:sz w:val="24"/>
                <w:szCs w:val="24"/>
              </w:rPr>
              <w:t>MARCO ANTONIO UCAN CAMARA</w:t>
            </w:r>
          </w:p>
        </w:tc>
        <w:tc>
          <w:tcPr>
            <w:tcW w:w="4013" w:type="dxa"/>
          </w:tcPr>
          <w:p w:rsidR="00BB6622" w:rsidRDefault="00BB6622" w:rsidP="002A1E60">
            <w:pPr>
              <w:jc w:val="both"/>
              <w:rPr>
                <w:rFonts w:ascii="Arial" w:hAnsi="Arial" w:cs="Arial"/>
                <w:sz w:val="24"/>
                <w:szCs w:val="24"/>
              </w:rPr>
            </w:pPr>
            <w:r>
              <w:rPr>
                <w:rFonts w:ascii="Arial" w:hAnsi="Arial" w:cs="Arial"/>
                <w:sz w:val="24"/>
                <w:szCs w:val="24"/>
              </w:rPr>
              <w:t>ALBERTO ISAAC LERIN ACOSTA</w:t>
            </w:r>
          </w:p>
        </w:tc>
      </w:tr>
      <w:tr w:rsidR="00BB6622" w:rsidTr="002A1E60">
        <w:tc>
          <w:tcPr>
            <w:tcW w:w="790" w:type="dxa"/>
          </w:tcPr>
          <w:p w:rsidR="00BB6622" w:rsidRPr="00366A23" w:rsidRDefault="00BB6622" w:rsidP="002A1E60">
            <w:pPr>
              <w:jc w:val="both"/>
              <w:rPr>
                <w:rFonts w:ascii="Arial" w:hAnsi="Arial" w:cs="Arial"/>
                <w:b/>
                <w:bCs/>
                <w:sz w:val="24"/>
                <w:szCs w:val="24"/>
              </w:rPr>
            </w:pPr>
            <w:r w:rsidRPr="00366A23">
              <w:rPr>
                <w:rFonts w:ascii="Arial" w:hAnsi="Arial" w:cs="Arial"/>
                <w:b/>
                <w:bCs/>
                <w:sz w:val="24"/>
                <w:szCs w:val="24"/>
              </w:rPr>
              <w:t>4</w:t>
            </w:r>
          </w:p>
        </w:tc>
        <w:tc>
          <w:tcPr>
            <w:tcW w:w="4025" w:type="dxa"/>
          </w:tcPr>
          <w:p w:rsidR="00BB6622" w:rsidRDefault="00BB6622" w:rsidP="002A1E60">
            <w:pPr>
              <w:jc w:val="both"/>
              <w:rPr>
                <w:rFonts w:ascii="Arial" w:hAnsi="Arial" w:cs="Arial"/>
                <w:sz w:val="24"/>
                <w:szCs w:val="24"/>
              </w:rPr>
            </w:pPr>
            <w:r>
              <w:rPr>
                <w:rFonts w:ascii="Arial" w:hAnsi="Arial" w:cs="Arial"/>
                <w:sz w:val="24"/>
                <w:szCs w:val="24"/>
              </w:rPr>
              <w:t xml:space="preserve">LUISA MARBELLA CHAN </w:t>
            </w:r>
            <w:proofErr w:type="spellStart"/>
            <w:r>
              <w:rPr>
                <w:rFonts w:ascii="Arial" w:hAnsi="Arial" w:cs="Arial"/>
                <w:sz w:val="24"/>
                <w:szCs w:val="24"/>
              </w:rPr>
              <w:t>CHAN</w:t>
            </w:r>
            <w:proofErr w:type="spellEnd"/>
          </w:p>
        </w:tc>
        <w:tc>
          <w:tcPr>
            <w:tcW w:w="4013" w:type="dxa"/>
          </w:tcPr>
          <w:p w:rsidR="00BB6622" w:rsidRDefault="00BB6622" w:rsidP="002A1E60">
            <w:pPr>
              <w:jc w:val="both"/>
              <w:rPr>
                <w:rFonts w:ascii="Arial" w:hAnsi="Arial" w:cs="Arial"/>
                <w:sz w:val="24"/>
                <w:szCs w:val="24"/>
              </w:rPr>
            </w:pPr>
            <w:r>
              <w:rPr>
                <w:rFonts w:ascii="Arial" w:hAnsi="Arial" w:cs="Arial"/>
                <w:sz w:val="24"/>
                <w:szCs w:val="24"/>
              </w:rPr>
              <w:t>DANIELA NOEMI COLLI COCOM</w:t>
            </w:r>
          </w:p>
        </w:tc>
      </w:tr>
      <w:tr w:rsidR="00BB6622" w:rsidTr="002A1E60">
        <w:tc>
          <w:tcPr>
            <w:tcW w:w="790" w:type="dxa"/>
          </w:tcPr>
          <w:p w:rsidR="00BB6622" w:rsidRPr="00366A23" w:rsidRDefault="00BB6622" w:rsidP="002A1E60">
            <w:pPr>
              <w:jc w:val="both"/>
              <w:rPr>
                <w:rFonts w:ascii="Arial" w:hAnsi="Arial" w:cs="Arial"/>
                <w:b/>
                <w:bCs/>
                <w:sz w:val="24"/>
                <w:szCs w:val="24"/>
              </w:rPr>
            </w:pPr>
            <w:r w:rsidRPr="00366A23">
              <w:rPr>
                <w:rFonts w:ascii="Arial" w:hAnsi="Arial" w:cs="Arial"/>
                <w:b/>
                <w:bCs/>
                <w:sz w:val="24"/>
                <w:szCs w:val="24"/>
              </w:rPr>
              <w:t>5</w:t>
            </w:r>
          </w:p>
        </w:tc>
        <w:tc>
          <w:tcPr>
            <w:tcW w:w="4025" w:type="dxa"/>
          </w:tcPr>
          <w:p w:rsidR="00BB6622" w:rsidRDefault="00BB6622" w:rsidP="002A1E60">
            <w:pPr>
              <w:jc w:val="both"/>
              <w:rPr>
                <w:rFonts w:ascii="Arial" w:hAnsi="Arial" w:cs="Arial"/>
                <w:sz w:val="24"/>
                <w:szCs w:val="24"/>
              </w:rPr>
            </w:pPr>
            <w:r>
              <w:rPr>
                <w:rFonts w:ascii="Arial" w:hAnsi="Arial" w:cs="Arial"/>
                <w:sz w:val="24"/>
                <w:szCs w:val="24"/>
              </w:rPr>
              <w:t>MARIO POOT GOMEZ</w:t>
            </w:r>
          </w:p>
        </w:tc>
        <w:tc>
          <w:tcPr>
            <w:tcW w:w="4013" w:type="dxa"/>
          </w:tcPr>
          <w:p w:rsidR="00BB6622" w:rsidRDefault="00BB6622" w:rsidP="002A1E60">
            <w:pPr>
              <w:jc w:val="both"/>
              <w:rPr>
                <w:rFonts w:ascii="Arial" w:hAnsi="Arial" w:cs="Arial"/>
                <w:sz w:val="24"/>
                <w:szCs w:val="24"/>
              </w:rPr>
            </w:pPr>
            <w:r>
              <w:rPr>
                <w:rFonts w:ascii="Arial" w:hAnsi="Arial" w:cs="Arial"/>
                <w:sz w:val="24"/>
                <w:szCs w:val="24"/>
              </w:rPr>
              <w:t>ALEJANDRO DOMINGUEZ CHAN</w:t>
            </w:r>
          </w:p>
        </w:tc>
      </w:tr>
      <w:tr w:rsidR="00BB6622" w:rsidTr="002A1E60">
        <w:tc>
          <w:tcPr>
            <w:tcW w:w="790" w:type="dxa"/>
          </w:tcPr>
          <w:p w:rsidR="00BB6622" w:rsidRPr="00366A23" w:rsidRDefault="00BB6622" w:rsidP="002A1E60">
            <w:pPr>
              <w:jc w:val="both"/>
              <w:rPr>
                <w:rFonts w:ascii="Arial" w:hAnsi="Arial" w:cs="Arial"/>
                <w:b/>
                <w:bCs/>
                <w:sz w:val="24"/>
                <w:szCs w:val="24"/>
              </w:rPr>
            </w:pPr>
            <w:r w:rsidRPr="00366A23">
              <w:rPr>
                <w:rFonts w:ascii="Arial" w:hAnsi="Arial" w:cs="Arial"/>
                <w:b/>
                <w:bCs/>
                <w:sz w:val="24"/>
                <w:szCs w:val="24"/>
              </w:rPr>
              <w:t>6</w:t>
            </w:r>
          </w:p>
        </w:tc>
        <w:tc>
          <w:tcPr>
            <w:tcW w:w="4025" w:type="dxa"/>
          </w:tcPr>
          <w:p w:rsidR="00BB6622" w:rsidRDefault="00BB6622" w:rsidP="002A1E60">
            <w:pPr>
              <w:jc w:val="both"/>
              <w:rPr>
                <w:rFonts w:ascii="Arial" w:hAnsi="Arial" w:cs="Arial"/>
                <w:sz w:val="24"/>
                <w:szCs w:val="24"/>
              </w:rPr>
            </w:pPr>
            <w:r>
              <w:rPr>
                <w:rFonts w:ascii="Arial" w:hAnsi="Arial" w:cs="Arial"/>
                <w:sz w:val="24"/>
                <w:szCs w:val="24"/>
              </w:rPr>
              <w:t>GENY ROSALBA PUC NAVARRETE</w:t>
            </w:r>
          </w:p>
        </w:tc>
        <w:tc>
          <w:tcPr>
            <w:tcW w:w="4013" w:type="dxa"/>
          </w:tcPr>
          <w:p w:rsidR="00BB6622" w:rsidRDefault="00BB6622" w:rsidP="002A1E60">
            <w:pPr>
              <w:jc w:val="both"/>
              <w:rPr>
                <w:rFonts w:ascii="Arial" w:hAnsi="Arial" w:cs="Arial"/>
                <w:sz w:val="24"/>
                <w:szCs w:val="24"/>
              </w:rPr>
            </w:pPr>
            <w:r>
              <w:rPr>
                <w:rFonts w:ascii="Arial" w:hAnsi="Arial" w:cs="Arial"/>
                <w:sz w:val="24"/>
                <w:szCs w:val="24"/>
              </w:rPr>
              <w:t>YAZMIN NOEMI XOOL CHAN</w:t>
            </w:r>
          </w:p>
        </w:tc>
      </w:tr>
      <w:tr w:rsidR="00BB6622" w:rsidTr="002A1E60">
        <w:tc>
          <w:tcPr>
            <w:tcW w:w="790" w:type="dxa"/>
          </w:tcPr>
          <w:p w:rsidR="00BB6622" w:rsidRPr="00366A23" w:rsidRDefault="00BB6622" w:rsidP="002A1E60">
            <w:pPr>
              <w:jc w:val="both"/>
              <w:rPr>
                <w:rFonts w:ascii="Arial" w:hAnsi="Arial" w:cs="Arial"/>
                <w:b/>
                <w:bCs/>
                <w:sz w:val="24"/>
                <w:szCs w:val="24"/>
              </w:rPr>
            </w:pPr>
            <w:r w:rsidRPr="00366A23">
              <w:rPr>
                <w:rFonts w:ascii="Arial" w:hAnsi="Arial" w:cs="Arial"/>
                <w:b/>
                <w:bCs/>
                <w:sz w:val="24"/>
                <w:szCs w:val="24"/>
              </w:rPr>
              <w:t>7</w:t>
            </w:r>
          </w:p>
        </w:tc>
        <w:tc>
          <w:tcPr>
            <w:tcW w:w="4025" w:type="dxa"/>
          </w:tcPr>
          <w:p w:rsidR="00BB6622" w:rsidRDefault="00BB6622" w:rsidP="002A1E60">
            <w:pPr>
              <w:jc w:val="both"/>
              <w:rPr>
                <w:rFonts w:ascii="Arial" w:hAnsi="Arial" w:cs="Arial"/>
                <w:sz w:val="24"/>
                <w:szCs w:val="24"/>
              </w:rPr>
            </w:pPr>
            <w:r>
              <w:rPr>
                <w:rFonts w:ascii="Arial" w:hAnsi="Arial" w:cs="Arial"/>
                <w:sz w:val="24"/>
                <w:szCs w:val="24"/>
              </w:rPr>
              <w:t>JOEL ISRAEL NAVARRETE ALVARADO</w:t>
            </w:r>
          </w:p>
        </w:tc>
        <w:tc>
          <w:tcPr>
            <w:tcW w:w="4013" w:type="dxa"/>
          </w:tcPr>
          <w:p w:rsidR="00BB6622" w:rsidRDefault="00BB6622" w:rsidP="002A1E60">
            <w:pPr>
              <w:jc w:val="both"/>
              <w:rPr>
                <w:rFonts w:ascii="Arial" w:hAnsi="Arial" w:cs="Arial"/>
                <w:sz w:val="24"/>
                <w:szCs w:val="24"/>
              </w:rPr>
            </w:pPr>
            <w:r>
              <w:rPr>
                <w:rFonts w:ascii="Arial" w:hAnsi="Arial" w:cs="Arial"/>
                <w:sz w:val="24"/>
                <w:szCs w:val="24"/>
              </w:rPr>
              <w:t>RODOLFO CHAN ZAPATA</w:t>
            </w:r>
          </w:p>
        </w:tc>
      </w:tr>
    </w:tbl>
    <w:p w:rsidR="00BB6622" w:rsidRDefault="00BB6622" w:rsidP="00BB6622">
      <w:pPr>
        <w:jc w:val="both"/>
        <w:rPr>
          <w:rFonts w:ascii="Arial" w:hAnsi="Arial" w:cs="Arial"/>
          <w:sz w:val="24"/>
          <w:szCs w:val="24"/>
        </w:rPr>
      </w:pPr>
    </w:p>
    <w:p w:rsidR="00BB6622" w:rsidRPr="009E5923" w:rsidRDefault="00BB6622" w:rsidP="00BB6622">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25"/>
        <w:gridCol w:w="4013"/>
      </w:tblGrid>
      <w:tr w:rsidR="00BB6622" w:rsidRPr="009E5923" w:rsidTr="002A1E60">
        <w:tc>
          <w:tcPr>
            <w:tcW w:w="790" w:type="dxa"/>
          </w:tcPr>
          <w:p w:rsidR="00BB6622" w:rsidRPr="009E5923" w:rsidRDefault="00BB6622" w:rsidP="002A1E60">
            <w:pPr>
              <w:jc w:val="both"/>
              <w:rPr>
                <w:rFonts w:ascii="Arial" w:hAnsi="Arial" w:cs="Arial"/>
                <w:b/>
                <w:bCs/>
                <w:sz w:val="24"/>
                <w:szCs w:val="24"/>
              </w:rPr>
            </w:pPr>
            <w:r w:rsidRPr="009E5923">
              <w:rPr>
                <w:rFonts w:ascii="Arial" w:hAnsi="Arial" w:cs="Arial"/>
                <w:b/>
                <w:bCs/>
                <w:sz w:val="24"/>
                <w:szCs w:val="24"/>
              </w:rPr>
              <w:t>Núm.</w:t>
            </w:r>
          </w:p>
        </w:tc>
        <w:tc>
          <w:tcPr>
            <w:tcW w:w="4025" w:type="dxa"/>
          </w:tcPr>
          <w:p w:rsidR="00BB6622" w:rsidRPr="009E5923" w:rsidRDefault="00BB6622" w:rsidP="002A1E60">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BB6622" w:rsidRPr="009E5923" w:rsidRDefault="00BB6622" w:rsidP="002A1E60">
            <w:pPr>
              <w:jc w:val="both"/>
              <w:rPr>
                <w:rFonts w:ascii="Arial" w:hAnsi="Arial" w:cs="Arial"/>
                <w:b/>
                <w:bCs/>
                <w:sz w:val="24"/>
                <w:szCs w:val="24"/>
              </w:rPr>
            </w:pPr>
            <w:r w:rsidRPr="009E5923">
              <w:rPr>
                <w:rFonts w:ascii="Arial" w:hAnsi="Arial" w:cs="Arial"/>
                <w:b/>
                <w:bCs/>
                <w:sz w:val="24"/>
                <w:szCs w:val="24"/>
              </w:rPr>
              <w:t>REGIDURÍAS DE SUPLENTES</w:t>
            </w:r>
          </w:p>
        </w:tc>
      </w:tr>
      <w:tr w:rsidR="00BB6622" w:rsidTr="002A1E60">
        <w:tc>
          <w:tcPr>
            <w:tcW w:w="790" w:type="dxa"/>
          </w:tcPr>
          <w:p w:rsidR="00BB6622" w:rsidRPr="00366A23" w:rsidRDefault="00BB6622" w:rsidP="002A1E60">
            <w:pPr>
              <w:jc w:val="both"/>
              <w:rPr>
                <w:rFonts w:ascii="Arial" w:hAnsi="Arial" w:cs="Arial"/>
                <w:b/>
                <w:bCs/>
                <w:sz w:val="24"/>
                <w:szCs w:val="24"/>
              </w:rPr>
            </w:pPr>
            <w:r w:rsidRPr="00366A23">
              <w:rPr>
                <w:rFonts w:ascii="Arial" w:hAnsi="Arial" w:cs="Arial"/>
                <w:b/>
                <w:bCs/>
                <w:sz w:val="24"/>
                <w:szCs w:val="24"/>
              </w:rPr>
              <w:t>8</w:t>
            </w:r>
          </w:p>
        </w:tc>
        <w:tc>
          <w:tcPr>
            <w:tcW w:w="4025" w:type="dxa"/>
          </w:tcPr>
          <w:p w:rsidR="00BB6622" w:rsidRDefault="00BB6622" w:rsidP="002A1E60">
            <w:pPr>
              <w:jc w:val="both"/>
              <w:rPr>
                <w:rFonts w:ascii="Arial" w:hAnsi="Arial" w:cs="Arial"/>
                <w:sz w:val="24"/>
                <w:szCs w:val="24"/>
              </w:rPr>
            </w:pPr>
            <w:r>
              <w:rPr>
                <w:rFonts w:ascii="Arial" w:hAnsi="Arial" w:cs="Arial"/>
                <w:sz w:val="24"/>
                <w:szCs w:val="24"/>
              </w:rPr>
              <w:t>SOEMY CERVANTES CAB</w:t>
            </w:r>
          </w:p>
        </w:tc>
        <w:tc>
          <w:tcPr>
            <w:tcW w:w="4013" w:type="dxa"/>
          </w:tcPr>
          <w:p w:rsidR="00BB6622" w:rsidRDefault="00BB6622" w:rsidP="002A1E60">
            <w:pPr>
              <w:jc w:val="both"/>
              <w:rPr>
                <w:rFonts w:ascii="Arial" w:hAnsi="Arial" w:cs="Arial"/>
                <w:sz w:val="24"/>
                <w:szCs w:val="24"/>
              </w:rPr>
            </w:pPr>
            <w:r>
              <w:rPr>
                <w:rFonts w:ascii="Arial" w:hAnsi="Arial" w:cs="Arial"/>
                <w:sz w:val="24"/>
                <w:szCs w:val="24"/>
              </w:rPr>
              <w:t>MELISSA YANETH COLLI NAVARRETE</w:t>
            </w:r>
          </w:p>
        </w:tc>
      </w:tr>
      <w:tr w:rsidR="00BB6622" w:rsidTr="002A1E60">
        <w:tc>
          <w:tcPr>
            <w:tcW w:w="790" w:type="dxa"/>
          </w:tcPr>
          <w:p w:rsidR="00BB6622" w:rsidRPr="00366A23" w:rsidRDefault="00BB6622" w:rsidP="002A1E60">
            <w:pPr>
              <w:jc w:val="both"/>
              <w:rPr>
                <w:rFonts w:ascii="Arial" w:hAnsi="Arial" w:cs="Arial"/>
                <w:b/>
                <w:bCs/>
                <w:sz w:val="24"/>
                <w:szCs w:val="24"/>
              </w:rPr>
            </w:pPr>
            <w:r w:rsidRPr="00366A23">
              <w:rPr>
                <w:rFonts w:ascii="Arial" w:hAnsi="Arial" w:cs="Arial"/>
                <w:b/>
                <w:bCs/>
                <w:sz w:val="24"/>
                <w:szCs w:val="24"/>
              </w:rPr>
              <w:t>9</w:t>
            </w:r>
          </w:p>
        </w:tc>
        <w:tc>
          <w:tcPr>
            <w:tcW w:w="4025" w:type="dxa"/>
          </w:tcPr>
          <w:p w:rsidR="00BB6622" w:rsidRDefault="00BB6622" w:rsidP="002A1E60">
            <w:pPr>
              <w:jc w:val="both"/>
              <w:rPr>
                <w:rFonts w:ascii="Arial" w:hAnsi="Arial" w:cs="Arial"/>
                <w:sz w:val="24"/>
                <w:szCs w:val="24"/>
              </w:rPr>
            </w:pPr>
            <w:r>
              <w:rPr>
                <w:rFonts w:ascii="Arial" w:hAnsi="Arial" w:cs="Arial"/>
                <w:sz w:val="24"/>
                <w:szCs w:val="24"/>
              </w:rPr>
              <w:t>OBED NEHEMIAS CHAN NIC</w:t>
            </w:r>
          </w:p>
        </w:tc>
        <w:tc>
          <w:tcPr>
            <w:tcW w:w="4013" w:type="dxa"/>
          </w:tcPr>
          <w:p w:rsidR="00BB6622" w:rsidRDefault="00BB6622" w:rsidP="002A1E60">
            <w:pPr>
              <w:jc w:val="both"/>
              <w:rPr>
                <w:rFonts w:ascii="Arial" w:hAnsi="Arial" w:cs="Arial"/>
                <w:sz w:val="24"/>
                <w:szCs w:val="24"/>
              </w:rPr>
            </w:pPr>
            <w:r>
              <w:rPr>
                <w:rFonts w:ascii="Arial" w:hAnsi="Arial" w:cs="Arial"/>
                <w:sz w:val="24"/>
                <w:szCs w:val="24"/>
              </w:rPr>
              <w:t>HERMELINDO SULUB CANCHE</w:t>
            </w:r>
          </w:p>
        </w:tc>
      </w:tr>
      <w:tr w:rsidR="00BB6622" w:rsidTr="002A1E60">
        <w:tc>
          <w:tcPr>
            <w:tcW w:w="790" w:type="dxa"/>
          </w:tcPr>
          <w:p w:rsidR="00BB6622" w:rsidRPr="00366A23" w:rsidRDefault="00BB6622" w:rsidP="002A1E60">
            <w:pPr>
              <w:jc w:val="both"/>
              <w:rPr>
                <w:rFonts w:ascii="Arial" w:hAnsi="Arial" w:cs="Arial"/>
                <w:b/>
                <w:bCs/>
                <w:sz w:val="24"/>
                <w:szCs w:val="24"/>
              </w:rPr>
            </w:pPr>
            <w:r w:rsidRPr="00366A23">
              <w:rPr>
                <w:rFonts w:ascii="Arial" w:hAnsi="Arial" w:cs="Arial"/>
                <w:b/>
                <w:bCs/>
                <w:sz w:val="24"/>
                <w:szCs w:val="24"/>
              </w:rPr>
              <w:t>10</w:t>
            </w:r>
          </w:p>
        </w:tc>
        <w:tc>
          <w:tcPr>
            <w:tcW w:w="4025" w:type="dxa"/>
          </w:tcPr>
          <w:p w:rsidR="00BB6622" w:rsidRDefault="00BB6622" w:rsidP="002A1E60">
            <w:pPr>
              <w:jc w:val="both"/>
              <w:rPr>
                <w:rFonts w:ascii="Arial" w:hAnsi="Arial" w:cs="Arial"/>
                <w:sz w:val="24"/>
                <w:szCs w:val="24"/>
              </w:rPr>
            </w:pPr>
            <w:r>
              <w:rPr>
                <w:rFonts w:ascii="Arial" w:hAnsi="Arial" w:cs="Arial"/>
                <w:sz w:val="24"/>
                <w:szCs w:val="24"/>
              </w:rPr>
              <w:t>MARIA GUADALUPE COCOM CHAN</w:t>
            </w:r>
          </w:p>
        </w:tc>
        <w:tc>
          <w:tcPr>
            <w:tcW w:w="4013" w:type="dxa"/>
          </w:tcPr>
          <w:p w:rsidR="00BB6622" w:rsidRDefault="00BB6622" w:rsidP="002A1E60">
            <w:pPr>
              <w:jc w:val="both"/>
              <w:rPr>
                <w:rFonts w:ascii="Arial" w:hAnsi="Arial" w:cs="Arial"/>
                <w:sz w:val="24"/>
                <w:szCs w:val="24"/>
              </w:rPr>
            </w:pPr>
            <w:r>
              <w:rPr>
                <w:rFonts w:ascii="Arial" w:hAnsi="Arial" w:cs="Arial"/>
                <w:sz w:val="24"/>
                <w:szCs w:val="24"/>
              </w:rPr>
              <w:t>MARIA REINALDA NOVELO COUOH</w:t>
            </w:r>
          </w:p>
        </w:tc>
      </w:tr>
      <w:tr w:rsidR="00BB6622" w:rsidTr="002A1E60">
        <w:tc>
          <w:tcPr>
            <w:tcW w:w="790" w:type="dxa"/>
          </w:tcPr>
          <w:p w:rsidR="00BB6622" w:rsidRPr="00366A23" w:rsidRDefault="00BB6622" w:rsidP="002A1E60">
            <w:pPr>
              <w:jc w:val="both"/>
              <w:rPr>
                <w:rFonts w:ascii="Arial" w:hAnsi="Arial" w:cs="Arial"/>
                <w:b/>
                <w:bCs/>
                <w:sz w:val="24"/>
                <w:szCs w:val="24"/>
              </w:rPr>
            </w:pPr>
            <w:r w:rsidRPr="00366A23">
              <w:rPr>
                <w:rFonts w:ascii="Arial" w:hAnsi="Arial" w:cs="Arial"/>
                <w:b/>
                <w:bCs/>
                <w:sz w:val="24"/>
                <w:szCs w:val="24"/>
              </w:rPr>
              <w:t>11</w:t>
            </w:r>
          </w:p>
        </w:tc>
        <w:tc>
          <w:tcPr>
            <w:tcW w:w="4025" w:type="dxa"/>
          </w:tcPr>
          <w:p w:rsidR="00BB6622" w:rsidRDefault="00BB6622" w:rsidP="002A1E60">
            <w:pPr>
              <w:jc w:val="both"/>
              <w:rPr>
                <w:rFonts w:ascii="Arial" w:hAnsi="Arial" w:cs="Arial"/>
                <w:sz w:val="24"/>
                <w:szCs w:val="24"/>
              </w:rPr>
            </w:pPr>
            <w:r>
              <w:rPr>
                <w:rFonts w:ascii="Arial" w:hAnsi="Arial" w:cs="Arial"/>
                <w:sz w:val="24"/>
                <w:szCs w:val="24"/>
              </w:rPr>
              <w:t>MIGUEL ARCANGEL BALAM LOPEZ</w:t>
            </w:r>
          </w:p>
        </w:tc>
        <w:tc>
          <w:tcPr>
            <w:tcW w:w="4013" w:type="dxa"/>
          </w:tcPr>
          <w:p w:rsidR="00BB6622" w:rsidRDefault="00BB6622" w:rsidP="002A1E60">
            <w:pPr>
              <w:jc w:val="both"/>
              <w:rPr>
                <w:rFonts w:ascii="Arial" w:hAnsi="Arial" w:cs="Arial"/>
                <w:sz w:val="24"/>
                <w:szCs w:val="24"/>
              </w:rPr>
            </w:pPr>
            <w:proofErr w:type="gramStart"/>
            <w:r>
              <w:rPr>
                <w:rFonts w:ascii="Arial" w:hAnsi="Arial" w:cs="Arial"/>
                <w:sz w:val="24"/>
                <w:szCs w:val="24"/>
              </w:rPr>
              <w:t>RUDY  AMILCAR</w:t>
            </w:r>
            <w:proofErr w:type="gramEnd"/>
            <w:r>
              <w:rPr>
                <w:rFonts w:ascii="Arial" w:hAnsi="Arial" w:cs="Arial"/>
                <w:sz w:val="24"/>
                <w:szCs w:val="24"/>
              </w:rPr>
              <w:t xml:space="preserve"> POOT ORTEGON</w:t>
            </w:r>
          </w:p>
        </w:tc>
      </w:tr>
    </w:tbl>
    <w:p w:rsidR="00B87555" w:rsidRPr="00A67D86" w:rsidRDefault="00B87555" w:rsidP="00153944">
      <w:pPr>
        <w:spacing w:after="0" w:line="240" w:lineRule="auto"/>
        <w:rPr>
          <w:rFonts w:ascii="Arial" w:hAnsi="Arial" w:cs="Arial"/>
        </w:rPr>
      </w:pPr>
    </w:p>
    <w:p w:rsidR="00844120" w:rsidRDefault="00844120" w:rsidP="00153944">
      <w:pPr>
        <w:spacing w:after="0" w:line="240" w:lineRule="auto"/>
        <w:jc w:val="both"/>
        <w:rPr>
          <w:rFonts w:ascii="Arial" w:hAnsi="Arial" w:cs="Arial"/>
        </w:rPr>
      </w:pPr>
    </w:p>
    <w:p w:rsidR="009D0AEE" w:rsidRDefault="009D0AEE"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B87555" w:rsidRPr="00A67D86" w:rsidRDefault="00B87555" w:rsidP="00153944">
      <w:pPr>
        <w:spacing w:after="0" w:line="240" w:lineRule="auto"/>
        <w:jc w:val="both"/>
        <w:rPr>
          <w:rFonts w:ascii="Arial" w:hAnsi="Arial" w:cs="Arial"/>
        </w:rPr>
      </w:pPr>
    </w:p>
    <w:p w:rsidR="00DD0C3F"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mil veintiuno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 xml:space="preserve">Notifíquese el presente Acuerdo al Partido Político </w:t>
      </w:r>
      <w:r w:rsidR="00BB6622" w:rsidRPr="00BB6622">
        <w:rPr>
          <w:rFonts w:ascii="Arial" w:hAnsi="Arial" w:cs="Arial"/>
          <w:b/>
        </w:rPr>
        <w:t>MORENA</w:t>
      </w:r>
      <w:r w:rsidRPr="00A67D86">
        <w:rPr>
          <w:rFonts w:ascii="Arial" w:hAnsi="Arial" w:cs="Arial"/>
        </w:rPr>
        <w:t xml:space="preserve"> para su debido conocimiento.</w:t>
      </w:r>
    </w:p>
    <w:p w:rsidR="00B87555" w:rsidRPr="00A67D86" w:rsidRDefault="00B87555"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rsidR="00844120" w:rsidRPr="00A67D86" w:rsidRDefault="00844120" w:rsidP="00153944">
      <w:pPr>
        <w:spacing w:after="0" w:line="240" w:lineRule="auto"/>
        <w:jc w:val="both"/>
        <w:rPr>
          <w:rFonts w:ascii="Arial" w:hAnsi="Arial" w:cs="Arial"/>
        </w:rPr>
      </w:pPr>
    </w:p>
    <w:p w:rsidR="00DD0C3F" w:rsidRDefault="00844120" w:rsidP="00153944">
      <w:pPr>
        <w:spacing w:after="0" w:line="240" w:lineRule="auto"/>
        <w:jc w:val="both"/>
        <w:rPr>
          <w:rFonts w:ascii="Arial" w:hAnsi="Arial" w:cs="Arial"/>
          <w:b/>
        </w:rPr>
      </w:pPr>
      <w:r w:rsidRPr="00A67D86">
        <w:rPr>
          <w:rFonts w:ascii="Arial" w:hAnsi="Arial" w:cs="Arial"/>
        </w:rPr>
        <w:t xml:space="preserve">Este acuerdo fue aprobado en sesión extraordinaria del Consejo Electoral Municipal de </w:t>
      </w:r>
      <w:proofErr w:type="spellStart"/>
      <w:r w:rsidR="00CE6B95" w:rsidRPr="004277DA">
        <w:rPr>
          <w:rFonts w:ascii="Arial" w:hAnsi="Arial" w:cs="Arial"/>
          <w:b/>
        </w:rPr>
        <w:t>Akil</w:t>
      </w:r>
      <w:proofErr w:type="spellEnd"/>
      <w:r w:rsidRPr="00A67D86">
        <w:rPr>
          <w:rFonts w:ascii="Arial" w:hAnsi="Arial" w:cs="Arial"/>
        </w:rPr>
        <w:t xml:space="preserve">, Yucatán, celebrada el día </w:t>
      </w:r>
      <w:r w:rsidR="004277DA" w:rsidRPr="004277DA">
        <w:rPr>
          <w:rFonts w:ascii="Arial" w:hAnsi="Arial" w:cs="Arial"/>
          <w:b/>
        </w:rPr>
        <w:t>2</w:t>
      </w:r>
      <w:r w:rsidRPr="00A67D86">
        <w:rPr>
          <w:rFonts w:ascii="Arial" w:hAnsi="Arial" w:cs="Arial"/>
        </w:rPr>
        <w:t xml:space="preserve"> de </w:t>
      </w:r>
      <w:r w:rsidR="00B87555">
        <w:rPr>
          <w:rFonts w:ascii="Arial" w:hAnsi="Arial" w:cs="Arial"/>
          <w:b/>
        </w:rPr>
        <w:t>a</w:t>
      </w:r>
      <w:r w:rsidR="004277DA">
        <w:rPr>
          <w:rFonts w:ascii="Arial" w:hAnsi="Arial" w:cs="Arial"/>
          <w:b/>
        </w:rPr>
        <w:t>b</w:t>
      </w:r>
      <w:r w:rsidR="00B87555">
        <w:rPr>
          <w:rFonts w:ascii="Arial" w:hAnsi="Arial" w:cs="Arial"/>
          <w:b/>
        </w:rPr>
        <w:t>r</w:t>
      </w:r>
      <w:r w:rsidR="004277DA">
        <w:rPr>
          <w:rFonts w:ascii="Arial" w:hAnsi="Arial" w:cs="Arial"/>
          <w:b/>
        </w:rPr>
        <w:t>il</w:t>
      </w:r>
      <w:r w:rsidR="00B87555">
        <w:rPr>
          <w:rFonts w:ascii="Arial" w:hAnsi="Arial" w:cs="Arial"/>
          <w:b/>
        </w:rPr>
        <w:t xml:space="preserve"> </w:t>
      </w:r>
      <w:r w:rsidRPr="00A67D86">
        <w:rPr>
          <w:rFonts w:ascii="Arial" w:hAnsi="Arial" w:cs="Arial"/>
        </w:rPr>
        <w:t>de</w:t>
      </w:r>
      <w:r w:rsidR="00B87555">
        <w:rPr>
          <w:rFonts w:ascii="Arial" w:hAnsi="Arial" w:cs="Arial"/>
        </w:rPr>
        <w:t>l</w:t>
      </w:r>
      <w:r w:rsidRPr="00A67D86">
        <w:rPr>
          <w:rFonts w:ascii="Arial" w:hAnsi="Arial" w:cs="Arial"/>
        </w:rPr>
        <w:t xml:space="preserve"> dos mil veintiuno, por </w:t>
      </w:r>
      <w:r w:rsidR="004277DA">
        <w:rPr>
          <w:rFonts w:ascii="Arial" w:hAnsi="Arial" w:cs="Arial"/>
        </w:rPr>
        <w:t>mayoría de</w:t>
      </w:r>
      <w:r w:rsidR="00B87555">
        <w:rPr>
          <w:rFonts w:ascii="Arial" w:hAnsi="Arial" w:cs="Arial"/>
        </w:rPr>
        <w:t xml:space="preserve"> votos de las </w:t>
      </w:r>
      <w:r w:rsidR="008D32E8" w:rsidRPr="00A67D86">
        <w:rPr>
          <w:rFonts w:ascii="Arial" w:hAnsi="Arial" w:cs="Arial"/>
        </w:rPr>
        <w:t>consejeras</w:t>
      </w:r>
      <w:r w:rsidR="008D32E8">
        <w:rPr>
          <w:rFonts w:ascii="Arial" w:hAnsi="Arial" w:cs="Arial"/>
        </w:rPr>
        <w:t xml:space="preserve"> y c</w:t>
      </w:r>
      <w:r w:rsidR="00B87555">
        <w:rPr>
          <w:rFonts w:ascii="Arial" w:hAnsi="Arial" w:cs="Arial"/>
        </w:rPr>
        <w:t xml:space="preserve">onsejeros Electorales; el </w:t>
      </w:r>
      <w:r w:rsidR="00B87555" w:rsidRPr="00B87555">
        <w:rPr>
          <w:rFonts w:ascii="Arial" w:hAnsi="Arial" w:cs="Arial"/>
          <w:b/>
        </w:rPr>
        <w:t>C.</w:t>
      </w:r>
      <w:r w:rsidR="00B87555">
        <w:rPr>
          <w:rFonts w:ascii="Arial" w:hAnsi="Arial" w:cs="Arial"/>
        </w:rPr>
        <w:t xml:space="preserve"> </w:t>
      </w:r>
      <w:proofErr w:type="spellStart"/>
      <w:r w:rsidR="00B87555" w:rsidRPr="00B87555">
        <w:rPr>
          <w:rFonts w:ascii="Arial" w:hAnsi="Arial" w:cs="Arial"/>
          <w:b/>
        </w:rPr>
        <w:t>R</w:t>
      </w:r>
      <w:r w:rsidR="00CE6B95">
        <w:rPr>
          <w:rFonts w:ascii="Arial" w:hAnsi="Arial" w:cs="Arial"/>
          <w:b/>
        </w:rPr>
        <w:t>aul</w:t>
      </w:r>
      <w:proofErr w:type="spellEnd"/>
      <w:r w:rsidR="00CE6B95">
        <w:rPr>
          <w:rFonts w:ascii="Arial" w:hAnsi="Arial" w:cs="Arial"/>
          <w:b/>
        </w:rPr>
        <w:t xml:space="preserve"> Becerra </w:t>
      </w:r>
      <w:proofErr w:type="spellStart"/>
      <w:r w:rsidR="00CE6B95">
        <w:rPr>
          <w:rFonts w:ascii="Arial" w:hAnsi="Arial" w:cs="Arial"/>
          <w:b/>
        </w:rPr>
        <w:t>Garcia</w:t>
      </w:r>
      <w:proofErr w:type="spellEnd"/>
      <w:r w:rsidR="00B87555">
        <w:rPr>
          <w:rFonts w:ascii="Arial" w:hAnsi="Arial" w:cs="Arial"/>
        </w:rPr>
        <w:t xml:space="preserve">, la </w:t>
      </w:r>
      <w:r w:rsidR="00B87555" w:rsidRPr="00B87555">
        <w:rPr>
          <w:rFonts w:ascii="Arial" w:hAnsi="Arial" w:cs="Arial"/>
          <w:b/>
        </w:rPr>
        <w:t>C.</w:t>
      </w:r>
      <w:r w:rsidR="00B87555">
        <w:rPr>
          <w:rFonts w:ascii="Arial" w:hAnsi="Arial" w:cs="Arial"/>
        </w:rPr>
        <w:t xml:space="preserve"> </w:t>
      </w:r>
      <w:proofErr w:type="spellStart"/>
      <w:r w:rsidR="00CE6B95">
        <w:rPr>
          <w:rFonts w:ascii="Arial" w:hAnsi="Arial" w:cs="Arial"/>
          <w:b/>
        </w:rPr>
        <w:t>Gemima</w:t>
      </w:r>
      <w:proofErr w:type="spellEnd"/>
      <w:r w:rsidR="00CE6B95">
        <w:rPr>
          <w:rFonts w:ascii="Arial" w:hAnsi="Arial" w:cs="Arial"/>
          <w:b/>
        </w:rPr>
        <w:t xml:space="preserve"> May </w:t>
      </w:r>
      <w:proofErr w:type="spellStart"/>
      <w:r w:rsidR="00CE6B95">
        <w:rPr>
          <w:rFonts w:ascii="Arial" w:hAnsi="Arial" w:cs="Arial"/>
          <w:b/>
        </w:rPr>
        <w:t>Puc</w:t>
      </w:r>
      <w:proofErr w:type="spellEnd"/>
      <w:r w:rsidR="00B87555">
        <w:rPr>
          <w:rFonts w:ascii="Arial" w:hAnsi="Arial" w:cs="Arial"/>
        </w:rPr>
        <w:t xml:space="preserve"> y el </w:t>
      </w:r>
      <w:r w:rsidR="00B87555" w:rsidRPr="00B87555">
        <w:rPr>
          <w:rFonts w:ascii="Arial" w:hAnsi="Arial" w:cs="Arial"/>
          <w:b/>
        </w:rPr>
        <w:t xml:space="preserve">C. </w:t>
      </w:r>
      <w:r w:rsidR="00CE6B95">
        <w:rPr>
          <w:rFonts w:ascii="Arial" w:hAnsi="Arial" w:cs="Arial"/>
          <w:b/>
        </w:rPr>
        <w:t xml:space="preserve">Luis Alberto </w:t>
      </w:r>
      <w:proofErr w:type="spellStart"/>
      <w:r w:rsidR="00CE6B95">
        <w:rPr>
          <w:rFonts w:ascii="Arial" w:hAnsi="Arial" w:cs="Arial"/>
          <w:b/>
        </w:rPr>
        <w:t>Cab</w:t>
      </w:r>
      <w:proofErr w:type="spellEnd"/>
      <w:r w:rsidR="00CE6B95">
        <w:rPr>
          <w:rFonts w:ascii="Arial" w:hAnsi="Arial" w:cs="Arial"/>
          <w:b/>
        </w:rPr>
        <w:t xml:space="preserve"> </w:t>
      </w:r>
      <w:proofErr w:type="spellStart"/>
      <w:r w:rsidR="00CE6B95">
        <w:rPr>
          <w:rFonts w:ascii="Arial" w:hAnsi="Arial" w:cs="Arial"/>
          <w:b/>
        </w:rPr>
        <w:t>Ucan</w:t>
      </w:r>
      <w:proofErr w:type="spellEnd"/>
      <w:r w:rsidR="00B87555" w:rsidRPr="00B87555">
        <w:rPr>
          <w:rFonts w:ascii="Arial" w:hAnsi="Arial" w:cs="Arial"/>
          <w:b/>
        </w:rPr>
        <w:t>.</w:t>
      </w: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153944" w:rsidRDefault="00153944"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tbl>
      <w:tblPr>
        <w:tblW w:w="9180" w:type="dxa"/>
        <w:tblLook w:val="04A0" w:firstRow="1" w:lastRow="0" w:firstColumn="1" w:lastColumn="0" w:noHBand="0" w:noVBand="1"/>
      </w:tblPr>
      <w:tblGrid>
        <w:gridCol w:w="4480"/>
        <w:gridCol w:w="4700"/>
      </w:tblGrid>
      <w:tr w:rsidR="00B87555" w:rsidRPr="005C035B" w:rsidTr="00DD0C3F">
        <w:trPr>
          <w:trHeight w:val="367"/>
        </w:trPr>
        <w:tc>
          <w:tcPr>
            <w:tcW w:w="4480" w:type="dxa"/>
            <w:shd w:val="clear" w:color="auto" w:fill="auto"/>
          </w:tcPr>
          <w:p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w:t>
            </w:r>
          </w:p>
        </w:tc>
        <w:tc>
          <w:tcPr>
            <w:tcW w:w="4700" w:type="dxa"/>
            <w:shd w:val="clear" w:color="auto" w:fill="auto"/>
          </w:tcPr>
          <w:p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______________________________________</w:t>
            </w:r>
          </w:p>
        </w:tc>
      </w:tr>
      <w:tr w:rsidR="00B87555" w:rsidRPr="005C035B" w:rsidTr="00DD0C3F">
        <w:trPr>
          <w:trHeight w:val="35"/>
        </w:trPr>
        <w:tc>
          <w:tcPr>
            <w:tcW w:w="4480" w:type="dxa"/>
            <w:shd w:val="clear" w:color="auto" w:fill="auto"/>
          </w:tcPr>
          <w:p w:rsidR="00CE6B95" w:rsidRDefault="00B567BD" w:rsidP="00153944">
            <w:pPr>
              <w:spacing w:after="0" w:line="240" w:lineRule="auto"/>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r w:rsidR="00CE6B95">
              <w:rPr>
                <w:rFonts w:ascii="Arial" w:hAnsi="Arial" w:cs="Arial"/>
                <w:sz w:val="20"/>
                <w:szCs w:val="20"/>
              </w:rPr>
              <w:t>RAUL BECERRA GARCIA</w:t>
            </w:r>
          </w:p>
          <w:p w:rsidR="00B87555" w:rsidRPr="005C035B" w:rsidRDefault="00B567BD" w:rsidP="00153944">
            <w:pPr>
              <w:spacing w:after="0" w:line="240" w:lineRule="auto"/>
              <w:jc w:val="center"/>
              <w:rPr>
                <w:rFonts w:ascii="Arial" w:hAnsi="Arial" w:cs="Arial"/>
                <w:sz w:val="20"/>
                <w:szCs w:val="20"/>
              </w:rPr>
            </w:pPr>
            <w:r w:rsidRPr="005C035B">
              <w:rPr>
                <w:rFonts w:ascii="Arial" w:hAnsi="Arial" w:cs="Arial"/>
                <w:sz w:val="20"/>
                <w:szCs w:val="20"/>
              </w:rPr>
              <w:t>CONSEJER</w:t>
            </w:r>
            <w:r>
              <w:rPr>
                <w:rFonts w:ascii="Arial" w:hAnsi="Arial" w:cs="Arial"/>
                <w:sz w:val="20"/>
                <w:szCs w:val="20"/>
              </w:rPr>
              <w:t>O PRESIDENTE</w:t>
            </w:r>
          </w:p>
        </w:tc>
        <w:tc>
          <w:tcPr>
            <w:tcW w:w="4700" w:type="dxa"/>
            <w:shd w:val="clear" w:color="auto" w:fill="auto"/>
          </w:tcPr>
          <w:p w:rsidR="00CE6B95" w:rsidRDefault="00B567BD" w:rsidP="00153944">
            <w:pPr>
              <w:jc w:val="center"/>
              <w:rPr>
                <w:rFonts w:ascii="Arial" w:hAnsi="Arial" w:cs="Arial"/>
                <w:sz w:val="20"/>
                <w:szCs w:val="20"/>
              </w:rPr>
            </w:pPr>
            <w:r>
              <w:rPr>
                <w:rFonts w:ascii="Arial" w:hAnsi="Arial" w:cs="Arial"/>
                <w:sz w:val="20"/>
                <w:szCs w:val="20"/>
              </w:rPr>
              <w:t xml:space="preserve">C. </w:t>
            </w:r>
            <w:r w:rsidRPr="005C035B">
              <w:rPr>
                <w:rFonts w:ascii="Arial" w:hAnsi="Arial" w:cs="Arial"/>
                <w:sz w:val="20"/>
                <w:szCs w:val="20"/>
              </w:rPr>
              <w:t xml:space="preserve"> </w:t>
            </w:r>
            <w:r w:rsidR="00CE6B95">
              <w:rPr>
                <w:rFonts w:ascii="Arial" w:hAnsi="Arial" w:cs="Arial"/>
                <w:sz w:val="20"/>
                <w:szCs w:val="20"/>
              </w:rPr>
              <w:t>CLAUDIO CAB NIC</w:t>
            </w:r>
          </w:p>
          <w:p w:rsidR="00B87555" w:rsidRPr="005C035B" w:rsidRDefault="00B567BD" w:rsidP="00153944">
            <w:pPr>
              <w:jc w:val="center"/>
              <w:rPr>
                <w:rFonts w:ascii="Arial" w:hAnsi="Arial" w:cs="Arial"/>
                <w:sz w:val="20"/>
                <w:szCs w:val="20"/>
              </w:rPr>
            </w:pPr>
            <w:r>
              <w:rPr>
                <w:rFonts w:ascii="Arial" w:hAnsi="Arial" w:cs="Arial"/>
                <w:sz w:val="20"/>
                <w:szCs w:val="20"/>
              </w:rPr>
              <w:t xml:space="preserve"> </w:t>
            </w:r>
            <w:r w:rsidRPr="005C035B">
              <w:rPr>
                <w:rFonts w:ascii="Arial" w:hAnsi="Arial" w:cs="Arial"/>
                <w:sz w:val="20"/>
                <w:szCs w:val="20"/>
              </w:rPr>
              <w:t>SECRETARI</w:t>
            </w:r>
            <w:r w:rsidR="00CE6B95">
              <w:rPr>
                <w:rFonts w:ascii="Arial" w:hAnsi="Arial" w:cs="Arial"/>
                <w:sz w:val="20"/>
                <w:szCs w:val="20"/>
              </w:rPr>
              <w:t>O</w:t>
            </w:r>
            <w:r w:rsidRPr="005C035B">
              <w:rPr>
                <w:rFonts w:ascii="Arial" w:hAnsi="Arial" w:cs="Arial"/>
                <w:sz w:val="20"/>
                <w:szCs w:val="20"/>
              </w:rPr>
              <w:t xml:space="preserve"> EJECUTIV</w:t>
            </w:r>
            <w:r>
              <w:rPr>
                <w:rFonts w:ascii="Arial" w:hAnsi="Arial" w:cs="Arial"/>
                <w:sz w:val="20"/>
                <w:szCs w:val="20"/>
              </w:rPr>
              <w:t>O</w:t>
            </w:r>
          </w:p>
        </w:tc>
      </w:tr>
    </w:tbl>
    <w:p w:rsidR="00B87555" w:rsidRPr="000817A7" w:rsidRDefault="00B87555" w:rsidP="00153944">
      <w:pPr>
        <w:spacing w:after="0" w:line="240" w:lineRule="auto"/>
        <w:jc w:val="both"/>
      </w:pPr>
    </w:p>
    <w:sectPr w:rsidR="00B87555" w:rsidRPr="000817A7"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777" w:rsidRDefault="00A65777" w:rsidP="009B61F6">
      <w:pPr>
        <w:spacing w:after="0" w:line="240" w:lineRule="auto"/>
      </w:pPr>
      <w:r>
        <w:separator/>
      </w:r>
    </w:p>
  </w:endnote>
  <w:endnote w:type="continuationSeparator" w:id="0">
    <w:p w:rsidR="00A65777" w:rsidRDefault="00A65777"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A65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A65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A65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777" w:rsidRDefault="00A65777" w:rsidP="009B61F6">
      <w:pPr>
        <w:spacing w:after="0" w:line="240" w:lineRule="auto"/>
      </w:pPr>
      <w:r>
        <w:separator/>
      </w:r>
    </w:p>
  </w:footnote>
  <w:footnote w:type="continuationSeparator" w:id="0">
    <w:p w:rsidR="00A65777" w:rsidRDefault="00A65777"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A65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-972185</wp:posOffset>
          </wp:positionH>
          <wp:positionV relativeFrom="paragraph">
            <wp:posOffset>-189230</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A6577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AE"/>
    <w:rsid w:val="000817A7"/>
    <w:rsid w:val="00153944"/>
    <w:rsid w:val="00191733"/>
    <w:rsid w:val="00267C86"/>
    <w:rsid w:val="004277DA"/>
    <w:rsid w:val="005611A5"/>
    <w:rsid w:val="005F1BBF"/>
    <w:rsid w:val="006B185B"/>
    <w:rsid w:val="00723CAE"/>
    <w:rsid w:val="00844120"/>
    <w:rsid w:val="00867B47"/>
    <w:rsid w:val="0088178A"/>
    <w:rsid w:val="008D32E8"/>
    <w:rsid w:val="00905D07"/>
    <w:rsid w:val="00957D27"/>
    <w:rsid w:val="009B61F6"/>
    <w:rsid w:val="009D0AEE"/>
    <w:rsid w:val="00A65777"/>
    <w:rsid w:val="00A87BAE"/>
    <w:rsid w:val="00AC027D"/>
    <w:rsid w:val="00AE65CB"/>
    <w:rsid w:val="00B31072"/>
    <w:rsid w:val="00B567BD"/>
    <w:rsid w:val="00B75F86"/>
    <w:rsid w:val="00B87555"/>
    <w:rsid w:val="00B97D52"/>
    <w:rsid w:val="00BB6622"/>
    <w:rsid w:val="00CD0282"/>
    <w:rsid w:val="00CE6B95"/>
    <w:rsid w:val="00D5690D"/>
    <w:rsid w:val="00DA39CF"/>
    <w:rsid w:val="00DD0C3F"/>
    <w:rsid w:val="00E244E4"/>
    <w:rsid w:val="00E647A6"/>
    <w:rsid w:val="00EB4B6C"/>
    <w:rsid w:val="00EE02D8"/>
    <w:rsid w:val="00FD13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A38A8"/>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23C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3C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283C6-8DDF-482D-8B02-35A15C4CE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3359</Words>
  <Characters>18478</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19</cp:revision>
  <cp:lastPrinted>2021-04-05T00:23:00Z</cp:lastPrinted>
  <dcterms:created xsi:type="dcterms:W3CDTF">2020-04-17T16:37:00Z</dcterms:created>
  <dcterms:modified xsi:type="dcterms:W3CDTF">2021-04-05T00:26:00Z</dcterms:modified>
</cp:coreProperties>
</file>