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1552DF4A"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 xml:space="preserve">ACUERDO </w:t>
      </w:r>
      <w:bookmarkStart w:id="0" w:name="_Hlk68071662"/>
      <w:r w:rsidRPr="0092779C">
        <w:rPr>
          <w:rFonts w:ascii="Arial" w:hAnsi="Arial" w:cs="Arial"/>
          <w:b/>
          <w:bCs/>
          <w:sz w:val="24"/>
          <w:szCs w:val="24"/>
        </w:rPr>
        <w:t>CM/</w:t>
      </w:r>
      <w:r w:rsidR="009D6597">
        <w:rPr>
          <w:rFonts w:ascii="Arial" w:hAnsi="Arial" w:cs="Arial"/>
          <w:b/>
          <w:bCs/>
          <w:sz w:val="24"/>
          <w:szCs w:val="24"/>
          <w:highlight w:val="yellow"/>
        </w:rPr>
        <w:t>00</w:t>
      </w:r>
      <w:r w:rsidR="009D6597">
        <w:rPr>
          <w:rFonts w:ascii="Arial" w:hAnsi="Arial" w:cs="Arial"/>
          <w:b/>
          <w:bCs/>
          <w:sz w:val="24"/>
          <w:szCs w:val="24"/>
        </w:rPr>
        <w:t>3</w:t>
      </w:r>
      <w:r w:rsidRPr="0092779C">
        <w:rPr>
          <w:rFonts w:ascii="Arial" w:hAnsi="Arial" w:cs="Arial"/>
          <w:b/>
          <w:bCs/>
          <w:sz w:val="24"/>
          <w:szCs w:val="24"/>
        </w:rPr>
        <w:t>/2021/</w:t>
      </w:r>
      <w:r w:rsidR="00695D67">
        <w:rPr>
          <w:rFonts w:ascii="Arial" w:hAnsi="Arial" w:cs="Arial"/>
          <w:b/>
          <w:bCs/>
          <w:sz w:val="24"/>
          <w:szCs w:val="24"/>
        </w:rPr>
        <w:t>CHICXULUB PUEBLO</w:t>
      </w:r>
      <w:bookmarkEnd w:id="0"/>
    </w:p>
    <w:p w14:paraId="48383F1A" w14:textId="64BE0EA1" w:rsidR="0092779C" w:rsidRPr="0092779C" w:rsidRDefault="0092779C" w:rsidP="0092779C">
      <w:pPr>
        <w:jc w:val="both"/>
        <w:rPr>
          <w:rFonts w:ascii="Arial" w:hAnsi="Arial" w:cs="Arial"/>
          <w:b/>
          <w:bCs/>
          <w:sz w:val="24"/>
          <w:szCs w:val="24"/>
        </w:rPr>
      </w:pPr>
    </w:p>
    <w:p w14:paraId="6A442BD3" w14:textId="31555AF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695D67">
        <w:rPr>
          <w:rFonts w:ascii="Arial" w:hAnsi="Arial" w:cs="Arial"/>
          <w:b/>
          <w:bCs/>
          <w:sz w:val="24"/>
          <w:szCs w:val="24"/>
        </w:rPr>
        <w:t>CHICXULUB PUEBLO</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9D6597">
        <w:rPr>
          <w:rFonts w:ascii="Arial" w:hAnsi="Arial" w:cs="Arial"/>
          <w:b/>
          <w:bCs/>
          <w:sz w:val="24"/>
          <w:szCs w:val="24"/>
          <w:highlight w:val="yellow"/>
        </w:rPr>
        <w:t>P</w:t>
      </w:r>
      <w:r w:rsidR="009D6597" w:rsidRPr="009D6597">
        <w:rPr>
          <w:rFonts w:ascii="Arial" w:hAnsi="Arial" w:cs="Arial"/>
          <w:b/>
          <w:bCs/>
          <w:sz w:val="24"/>
          <w:szCs w:val="24"/>
          <w:highlight w:val="yellow"/>
        </w:rPr>
        <w:t>RI</w:t>
      </w:r>
      <w:r w:rsidR="0092779C" w:rsidRPr="0092779C">
        <w:rPr>
          <w:rFonts w:ascii="Arial" w:hAnsi="Arial" w:cs="Arial"/>
          <w:b/>
          <w:bCs/>
          <w:sz w:val="24"/>
          <w:szCs w:val="24"/>
        </w:rPr>
        <w:t xml:space="preserve">, EN EL PROCESO ELECTORAL ORDINARIO 2020-2021, PARA INTEGRAR EL H. AYUNTAMIENTO DEL MUNICIPIO DE </w:t>
      </w:r>
      <w:r w:rsidR="00FF0DD9" w:rsidRPr="00FF0DD9">
        <w:rPr>
          <w:rFonts w:ascii="Arial" w:hAnsi="Arial" w:cs="Arial"/>
          <w:b/>
          <w:bCs/>
          <w:sz w:val="24"/>
          <w:szCs w:val="24"/>
          <w:highlight w:val="yellow"/>
        </w:rPr>
        <w:t>CHICXULUB P</w:t>
      </w:r>
      <w:r w:rsidR="00FF0DD9">
        <w:rPr>
          <w:rFonts w:ascii="Arial" w:hAnsi="Arial" w:cs="Arial"/>
          <w:b/>
          <w:bCs/>
          <w:sz w:val="24"/>
          <w:szCs w:val="24"/>
        </w:rPr>
        <w:t>UEBLO</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FBBD8E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FF0DD9" w:rsidRPr="00FF0DD9">
        <w:rPr>
          <w:rFonts w:ascii="Arial" w:hAnsi="Arial" w:cs="Arial"/>
          <w:sz w:val="24"/>
          <w:szCs w:val="24"/>
          <w:highlight w:val="yellow"/>
        </w:rPr>
        <w:t>23</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proofErr w:type="spellStart"/>
      <w:r w:rsidR="00FF0DD9" w:rsidRPr="00FF0DD9">
        <w:rPr>
          <w:rFonts w:ascii="Arial" w:hAnsi="Arial" w:cs="Arial"/>
          <w:sz w:val="24"/>
          <w:szCs w:val="24"/>
          <w:highlight w:val="yellow"/>
        </w:rPr>
        <w:t>Chicxulub</w:t>
      </w:r>
      <w:proofErr w:type="spellEnd"/>
      <w:r w:rsidR="00FF0DD9" w:rsidRPr="00FF0DD9">
        <w:rPr>
          <w:rFonts w:ascii="Arial" w:hAnsi="Arial" w:cs="Arial"/>
          <w:sz w:val="24"/>
          <w:szCs w:val="24"/>
          <w:highlight w:val="yellow"/>
        </w:rPr>
        <w:t xml:space="preserve"> Pueblo</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2004A1DC"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sidR="0040722F">
        <w:rPr>
          <w:rFonts w:ascii="Arial" w:hAnsi="Arial" w:cs="Arial"/>
          <w:sz w:val="24"/>
          <w:szCs w:val="24"/>
        </w:rPr>
        <w:t xml:space="preserve"> Y de conformidad al contenido del acuerdo C.G.-043/2021 emitido por el Consejo General del IEPAC.</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9D3C3C7"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FF0DD9" w:rsidRPr="00FF0DD9">
        <w:rPr>
          <w:rFonts w:ascii="Arial" w:hAnsi="Arial" w:cs="Arial"/>
          <w:sz w:val="24"/>
          <w:szCs w:val="24"/>
          <w:highlight w:val="yellow"/>
        </w:rPr>
        <w:t>2</w:t>
      </w:r>
      <w:r w:rsidR="009D6597">
        <w:rPr>
          <w:rFonts w:ascii="Arial" w:hAnsi="Arial" w:cs="Arial"/>
          <w:sz w:val="24"/>
          <w:szCs w:val="24"/>
          <w:highlight w:val="yellow"/>
        </w:rPr>
        <w:t>9</w:t>
      </w:r>
      <w:r w:rsidRPr="00FF0DD9">
        <w:rPr>
          <w:rFonts w:ascii="Arial" w:hAnsi="Arial" w:cs="Arial"/>
          <w:sz w:val="24"/>
          <w:szCs w:val="24"/>
          <w:highlight w:val="yellow"/>
        </w:rPr>
        <w:t xml:space="preserve"> de marzo</w:t>
      </w:r>
      <w:r>
        <w:rPr>
          <w:rFonts w:ascii="Arial" w:hAnsi="Arial" w:cs="Arial"/>
          <w:sz w:val="24"/>
          <w:szCs w:val="24"/>
        </w:rPr>
        <w:t xml:space="preserve"> de dos mil veintiuno, se recibió ante este Consejo Municipal, la solicitud del Partido Político </w:t>
      </w:r>
      <w:r w:rsidR="009D6597">
        <w:rPr>
          <w:rFonts w:ascii="Arial" w:hAnsi="Arial" w:cs="Arial"/>
          <w:sz w:val="24"/>
          <w:szCs w:val="24"/>
          <w:highlight w:val="yellow"/>
        </w:rPr>
        <w:t>PRI</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proofErr w:type="spellStart"/>
      <w:r w:rsidR="00FF0DD9" w:rsidRPr="00FF0DD9">
        <w:rPr>
          <w:rFonts w:ascii="Arial" w:hAnsi="Arial" w:cs="Arial"/>
          <w:sz w:val="24"/>
          <w:szCs w:val="24"/>
          <w:highlight w:val="yellow"/>
        </w:rPr>
        <w:t>Chicxulub</w:t>
      </w:r>
      <w:proofErr w:type="spellEnd"/>
      <w:r w:rsidR="00FF0DD9" w:rsidRPr="00FF0DD9">
        <w:rPr>
          <w:rFonts w:ascii="Arial" w:hAnsi="Arial" w:cs="Arial"/>
          <w:sz w:val="24"/>
          <w:szCs w:val="24"/>
          <w:highlight w:val="yellow"/>
        </w:rPr>
        <w:t xml:space="preserve"> Pueblo</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07EB67F2" w:rsidR="00AF6EFA" w:rsidRDefault="009D6597" w:rsidP="0092779C">
            <w:pPr>
              <w:jc w:val="both"/>
              <w:rPr>
                <w:rFonts w:ascii="Arial" w:hAnsi="Arial" w:cs="Arial"/>
                <w:sz w:val="24"/>
                <w:szCs w:val="24"/>
              </w:rPr>
            </w:pPr>
            <w:r>
              <w:rPr>
                <w:rFonts w:ascii="Arial" w:hAnsi="Arial" w:cs="Arial"/>
                <w:sz w:val="24"/>
                <w:szCs w:val="24"/>
              </w:rPr>
              <w:t>DANIELA ALICIA POOL ALVARADO</w:t>
            </w:r>
          </w:p>
        </w:tc>
        <w:tc>
          <w:tcPr>
            <w:tcW w:w="4013" w:type="dxa"/>
          </w:tcPr>
          <w:p w14:paraId="0E7BA6C7" w14:textId="69EFF118" w:rsidR="00AF6EFA" w:rsidRDefault="009D6597" w:rsidP="0092779C">
            <w:pPr>
              <w:jc w:val="both"/>
              <w:rPr>
                <w:rFonts w:ascii="Arial" w:hAnsi="Arial" w:cs="Arial"/>
                <w:sz w:val="24"/>
                <w:szCs w:val="24"/>
              </w:rPr>
            </w:pPr>
            <w:r>
              <w:rPr>
                <w:rFonts w:ascii="Arial" w:hAnsi="Arial" w:cs="Arial"/>
                <w:sz w:val="24"/>
                <w:szCs w:val="24"/>
              </w:rPr>
              <w:t>MARIA ISABEL MARIN PECH</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13E517CB" w:rsidR="00A8615F" w:rsidRDefault="009D6597" w:rsidP="0092779C">
            <w:pPr>
              <w:jc w:val="both"/>
              <w:rPr>
                <w:rFonts w:ascii="Arial" w:hAnsi="Arial" w:cs="Arial"/>
                <w:sz w:val="24"/>
                <w:szCs w:val="24"/>
              </w:rPr>
            </w:pPr>
            <w:r>
              <w:rPr>
                <w:rFonts w:ascii="Arial" w:hAnsi="Arial" w:cs="Arial"/>
                <w:sz w:val="24"/>
                <w:szCs w:val="24"/>
              </w:rPr>
              <w:t>EDWIN CECILIO CISNEROS UC</w:t>
            </w:r>
          </w:p>
        </w:tc>
        <w:tc>
          <w:tcPr>
            <w:tcW w:w="4013" w:type="dxa"/>
          </w:tcPr>
          <w:p w14:paraId="26182A58" w14:textId="55AD690A" w:rsidR="00A8615F" w:rsidRDefault="009D6597" w:rsidP="0092779C">
            <w:pPr>
              <w:jc w:val="both"/>
              <w:rPr>
                <w:rFonts w:ascii="Arial" w:hAnsi="Arial" w:cs="Arial"/>
                <w:sz w:val="24"/>
                <w:szCs w:val="24"/>
              </w:rPr>
            </w:pPr>
            <w:r>
              <w:rPr>
                <w:rFonts w:ascii="Arial" w:hAnsi="Arial" w:cs="Arial"/>
                <w:sz w:val="24"/>
                <w:szCs w:val="24"/>
              </w:rPr>
              <w:t>ALAN ISMAEL ESCALANTE PUGA</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242BC998" w:rsidR="00A8615F" w:rsidRDefault="009D6597" w:rsidP="0092779C">
            <w:pPr>
              <w:jc w:val="both"/>
              <w:rPr>
                <w:rFonts w:ascii="Arial" w:hAnsi="Arial" w:cs="Arial"/>
                <w:sz w:val="24"/>
                <w:szCs w:val="24"/>
              </w:rPr>
            </w:pPr>
            <w:r>
              <w:rPr>
                <w:rFonts w:ascii="Arial" w:hAnsi="Arial" w:cs="Arial"/>
                <w:sz w:val="24"/>
                <w:szCs w:val="24"/>
              </w:rPr>
              <w:t>MARIA GUADALUPE CAB CAUICH</w:t>
            </w:r>
          </w:p>
        </w:tc>
        <w:tc>
          <w:tcPr>
            <w:tcW w:w="4013" w:type="dxa"/>
          </w:tcPr>
          <w:p w14:paraId="44D37175" w14:textId="3C81DABD" w:rsidR="00A8615F" w:rsidRDefault="009D6597" w:rsidP="0092779C">
            <w:pPr>
              <w:jc w:val="both"/>
              <w:rPr>
                <w:rFonts w:ascii="Arial" w:hAnsi="Arial" w:cs="Arial"/>
                <w:sz w:val="24"/>
                <w:szCs w:val="24"/>
              </w:rPr>
            </w:pPr>
            <w:r>
              <w:rPr>
                <w:rFonts w:ascii="Arial" w:hAnsi="Arial" w:cs="Arial"/>
                <w:sz w:val="24"/>
                <w:szCs w:val="24"/>
              </w:rPr>
              <w:t>MARIA OFELIA TEC TAH</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7C33EFAF" w:rsidR="00AF6EFA" w:rsidRDefault="00C64F37" w:rsidP="0092779C">
            <w:pPr>
              <w:jc w:val="both"/>
              <w:rPr>
                <w:rFonts w:ascii="Arial" w:hAnsi="Arial" w:cs="Arial"/>
                <w:sz w:val="24"/>
                <w:szCs w:val="24"/>
              </w:rPr>
            </w:pPr>
            <w:r>
              <w:rPr>
                <w:rFonts w:ascii="Arial" w:hAnsi="Arial" w:cs="Arial"/>
                <w:sz w:val="24"/>
                <w:szCs w:val="24"/>
              </w:rPr>
              <w:t>JESUS DE LA CRUZ AGUILAR KU</w:t>
            </w:r>
          </w:p>
        </w:tc>
        <w:tc>
          <w:tcPr>
            <w:tcW w:w="4013" w:type="dxa"/>
          </w:tcPr>
          <w:p w14:paraId="04CE9FE9" w14:textId="5912C6FB" w:rsidR="00AF6EFA" w:rsidRDefault="00C64F37" w:rsidP="0092779C">
            <w:pPr>
              <w:jc w:val="both"/>
              <w:rPr>
                <w:rFonts w:ascii="Arial" w:hAnsi="Arial" w:cs="Arial"/>
                <w:sz w:val="24"/>
                <w:szCs w:val="24"/>
              </w:rPr>
            </w:pPr>
            <w:r>
              <w:rPr>
                <w:rFonts w:ascii="Arial" w:hAnsi="Arial" w:cs="Arial"/>
                <w:sz w:val="24"/>
                <w:szCs w:val="24"/>
              </w:rPr>
              <w:t>EBERTH DE JESUS TUN CHAN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21E7B5C8" w:rsidR="00A8615F" w:rsidRDefault="00C64F37" w:rsidP="0092779C">
            <w:pPr>
              <w:jc w:val="both"/>
              <w:rPr>
                <w:rFonts w:ascii="Arial" w:hAnsi="Arial" w:cs="Arial"/>
                <w:sz w:val="24"/>
                <w:szCs w:val="24"/>
              </w:rPr>
            </w:pPr>
            <w:r>
              <w:rPr>
                <w:rFonts w:ascii="Arial" w:hAnsi="Arial" w:cs="Arial"/>
                <w:sz w:val="24"/>
                <w:szCs w:val="24"/>
              </w:rPr>
              <w:t>ARGELIA JANET PECH CEN</w:t>
            </w:r>
          </w:p>
        </w:tc>
        <w:tc>
          <w:tcPr>
            <w:tcW w:w="4013" w:type="dxa"/>
          </w:tcPr>
          <w:p w14:paraId="28A56C2A" w14:textId="06460365" w:rsidR="00A8615F" w:rsidRDefault="00C64F37" w:rsidP="0092779C">
            <w:pPr>
              <w:jc w:val="both"/>
              <w:rPr>
                <w:rFonts w:ascii="Arial" w:hAnsi="Arial" w:cs="Arial"/>
                <w:sz w:val="24"/>
                <w:szCs w:val="24"/>
              </w:rPr>
            </w:pPr>
            <w:r>
              <w:rPr>
                <w:rFonts w:ascii="Arial" w:hAnsi="Arial" w:cs="Arial"/>
                <w:sz w:val="24"/>
                <w:szCs w:val="24"/>
              </w:rPr>
              <w:t>JOHANA ABIGAIL</w:t>
            </w:r>
            <w:r w:rsidR="0056623B">
              <w:rPr>
                <w:rFonts w:ascii="Arial" w:hAnsi="Arial" w:cs="Arial"/>
                <w:sz w:val="24"/>
                <w:szCs w:val="24"/>
              </w:rPr>
              <w:t xml:space="preserve"> </w:t>
            </w:r>
            <w:r>
              <w:rPr>
                <w:rFonts w:ascii="Arial" w:hAnsi="Arial" w:cs="Arial"/>
                <w:sz w:val="24"/>
                <w:szCs w:val="24"/>
              </w:rPr>
              <w:t>MAY KU</w:t>
            </w:r>
          </w:p>
        </w:tc>
      </w:tr>
    </w:tbl>
    <w:p w14:paraId="624B2E0B" w14:textId="77777777" w:rsidR="00397E03" w:rsidRDefault="00397E03" w:rsidP="0092779C">
      <w:pPr>
        <w:jc w:val="both"/>
        <w:rPr>
          <w:rFonts w:ascii="Arial" w:hAnsi="Arial" w:cs="Arial"/>
          <w:sz w:val="24"/>
          <w:szCs w:val="24"/>
        </w:rPr>
      </w:pPr>
    </w:p>
    <w:p w14:paraId="3F64EF74" w14:textId="29E0A98E"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sidR="003C5DE2">
        <w:rPr>
          <w:rFonts w:ascii="Arial" w:hAnsi="Arial" w:cs="Arial"/>
          <w:sz w:val="24"/>
          <w:szCs w:val="24"/>
        </w:rPr>
        <w:t xml:space="preserve"> Que el Secretario</w:t>
      </w:r>
      <w:r>
        <w:rPr>
          <w:rFonts w:ascii="Arial" w:hAnsi="Arial" w:cs="Arial"/>
          <w:sz w:val="24"/>
          <w:szCs w:val="24"/>
        </w:rPr>
        <w:t xml:space="preserve"> Ejecutiv</w:t>
      </w:r>
      <w:r w:rsidR="003C5DE2">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1EAA6033" w14:textId="77777777" w:rsidR="009704AF" w:rsidRDefault="009704AF" w:rsidP="009704AF">
      <w:pPr>
        <w:jc w:val="both"/>
        <w:rPr>
          <w:rFonts w:ascii="Arial" w:hAnsi="Arial" w:cs="Arial"/>
          <w:sz w:val="24"/>
          <w:szCs w:val="24"/>
        </w:rPr>
      </w:pPr>
      <w:r>
        <w:rPr>
          <w:rFonts w:ascii="Arial" w:hAnsi="Arial" w:cs="Arial"/>
          <w:sz w:val="24"/>
          <w:szCs w:val="24"/>
          <w:highlight w:val="red"/>
        </w:rPr>
        <w:t>34</w:t>
      </w:r>
      <w:r w:rsidRPr="00B537B4">
        <w:rPr>
          <w:rFonts w:ascii="Arial" w:hAnsi="Arial" w:cs="Arial"/>
          <w:sz w:val="24"/>
          <w:szCs w:val="24"/>
          <w:highlight w:val="red"/>
        </w:rPr>
        <w:t xml:space="preserve">.- </w:t>
      </w:r>
      <w:r>
        <w:rPr>
          <w:rFonts w:ascii="Arial" w:hAnsi="Arial" w:cs="Arial"/>
          <w:sz w:val="24"/>
          <w:szCs w:val="24"/>
          <w:highlight w:val="red"/>
        </w:rPr>
        <w:t xml:space="preserve">Siendo </w:t>
      </w:r>
      <w:proofErr w:type="gramStart"/>
      <w:r>
        <w:rPr>
          <w:rFonts w:ascii="Arial" w:hAnsi="Arial" w:cs="Arial"/>
          <w:sz w:val="24"/>
          <w:szCs w:val="24"/>
          <w:highlight w:val="red"/>
        </w:rPr>
        <w:t>que</w:t>
      </w:r>
      <w:proofErr w:type="gramEnd"/>
      <w:r>
        <w:rPr>
          <w:rFonts w:ascii="Arial" w:hAnsi="Arial" w:cs="Arial"/>
          <w:sz w:val="24"/>
          <w:szCs w:val="24"/>
          <w:highlight w:val="red"/>
        </w:rPr>
        <w:t xml:space="preserve"> de dicha verificación, no se</w:t>
      </w:r>
      <w:r w:rsidRPr="00B537B4">
        <w:rPr>
          <w:rFonts w:ascii="Arial" w:hAnsi="Arial" w:cs="Arial"/>
          <w:sz w:val="24"/>
          <w:szCs w:val="24"/>
          <w:highlight w:val="red"/>
        </w:rPr>
        <w:t xml:space="preserve"> </w:t>
      </w:r>
      <w:r>
        <w:rPr>
          <w:rFonts w:ascii="Arial" w:hAnsi="Arial" w:cs="Arial"/>
          <w:sz w:val="24"/>
          <w:szCs w:val="24"/>
          <w:highlight w:val="red"/>
        </w:rPr>
        <w:t>encontraron</w:t>
      </w:r>
      <w:r w:rsidRPr="00B537B4">
        <w:rPr>
          <w:rFonts w:ascii="Arial" w:hAnsi="Arial" w:cs="Arial"/>
          <w:sz w:val="24"/>
          <w:szCs w:val="24"/>
          <w:highlight w:val="red"/>
        </w:rPr>
        <w:t xml:space="preserve"> omisiones en el cumplimiento de los requisitos</w:t>
      </w:r>
      <w:r>
        <w:rPr>
          <w:rFonts w:ascii="Arial" w:hAnsi="Arial" w:cs="Arial"/>
          <w:sz w:val="24"/>
          <w:szCs w:val="24"/>
        </w:rPr>
        <w:t xml:space="preserve">. </w:t>
      </w:r>
    </w:p>
    <w:p w14:paraId="09395946" w14:textId="0A957583" w:rsidR="009704AF" w:rsidRDefault="009704AF" w:rsidP="009704AF">
      <w:pPr>
        <w:jc w:val="both"/>
        <w:rPr>
          <w:rFonts w:ascii="Arial" w:hAnsi="Arial" w:cs="Arial"/>
          <w:sz w:val="24"/>
          <w:szCs w:val="24"/>
        </w:rPr>
      </w:pPr>
      <w:r>
        <w:rPr>
          <w:rFonts w:ascii="Arial" w:hAnsi="Arial" w:cs="Arial"/>
          <w:sz w:val="24"/>
          <w:szCs w:val="24"/>
        </w:rPr>
        <w:t xml:space="preserve">35.- </w:t>
      </w:r>
      <w:r>
        <w:rPr>
          <w:rFonts w:ascii="Arial" w:hAnsi="Arial" w:cs="Arial"/>
          <w:sz w:val="24"/>
          <w:szCs w:val="24"/>
          <w:highlight w:val="green"/>
        </w:rPr>
        <w:t xml:space="preserve">No se realizó notificación al </w:t>
      </w:r>
      <w:r w:rsidRPr="00B537B4">
        <w:rPr>
          <w:rFonts w:ascii="Arial" w:hAnsi="Arial" w:cs="Arial"/>
          <w:sz w:val="24"/>
          <w:szCs w:val="24"/>
          <w:highlight w:val="green"/>
        </w:rPr>
        <w:t xml:space="preserve">Partido Político </w:t>
      </w:r>
      <w:r w:rsidR="0081249A">
        <w:rPr>
          <w:rFonts w:ascii="Arial" w:hAnsi="Arial" w:cs="Arial"/>
          <w:sz w:val="24"/>
          <w:szCs w:val="24"/>
          <w:highlight w:val="green"/>
        </w:rPr>
        <w:t>PRI</w:t>
      </w:r>
      <w:r w:rsidRPr="00B537B4">
        <w:rPr>
          <w:rFonts w:ascii="Arial" w:hAnsi="Arial" w:cs="Arial"/>
          <w:sz w:val="24"/>
          <w:szCs w:val="24"/>
          <w:highlight w:val="green"/>
        </w:rPr>
        <w:t xml:space="preserve"> </w:t>
      </w:r>
      <w:r>
        <w:rPr>
          <w:rFonts w:ascii="Arial" w:hAnsi="Arial" w:cs="Arial"/>
          <w:sz w:val="24"/>
          <w:szCs w:val="24"/>
          <w:highlight w:val="green"/>
        </w:rPr>
        <w:t>por no encontrase observaciones en la documentación presentada.</w:t>
      </w:r>
    </w:p>
    <w:p w14:paraId="7FE06618" w14:textId="7822969D" w:rsidR="00B537B4" w:rsidRDefault="009704AF" w:rsidP="009704AF">
      <w:pPr>
        <w:jc w:val="both"/>
        <w:rPr>
          <w:rFonts w:ascii="Arial" w:hAnsi="Arial" w:cs="Arial"/>
          <w:sz w:val="24"/>
          <w:szCs w:val="24"/>
        </w:rPr>
      </w:pPr>
      <w:r w:rsidRPr="00B537B4">
        <w:rPr>
          <w:rFonts w:ascii="Arial" w:hAnsi="Arial" w:cs="Arial"/>
          <w:sz w:val="24"/>
          <w:szCs w:val="24"/>
          <w:highlight w:val="green"/>
        </w:rPr>
        <w:t>3</w:t>
      </w:r>
      <w:r>
        <w:rPr>
          <w:rFonts w:ascii="Arial" w:hAnsi="Arial" w:cs="Arial"/>
          <w:sz w:val="24"/>
          <w:szCs w:val="24"/>
          <w:highlight w:val="green"/>
        </w:rPr>
        <w:t>6</w:t>
      </w:r>
      <w:r w:rsidRPr="00B537B4">
        <w:rPr>
          <w:rFonts w:ascii="Arial" w:hAnsi="Arial" w:cs="Arial"/>
          <w:sz w:val="24"/>
          <w:szCs w:val="24"/>
          <w:highlight w:val="green"/>
        </w:rPr>
        <w:t xml:space="preserve">.- El Partido Político </w:t>
      </w:r>
      <w:r>
        <w:rPr>
          <w:rFonts w:ascii="Arial" w:hAnsi="Arial" w:cs="Arial"/>
          <w:sz w:val="24"/>
          <w:szCs w:val="24"/>
          <w:highlight w:val="green"/>
        </w:rPr>
        <w:t>no</w:t>
      </w:r>
      <w:r w:rsidRPr="00B537B4">
        <w:rPr>
          <w:rFonts w:ascii="Arial" w:hAnsi="Arial" w:cs="Arial"/>
          <w:sz w:val="24"/>
          <w:szCs w:val="24"/>
          <w:highlight w:val="green"/>
        </w:rPr>
        <w:t xml:space="preserve"> </w:t>
      </w:r>
      <w:r>
        <w:rPr>
          <w:rFonts w:ascii="Arial" w:hAnsi="Arial" w:cs="Arial"/>
          <w:sz w:val="24"/>
          <w:szCs w:val="24"/>
          <w:highlight w:val="green"/>
        </w:rPr>
        <w:t>tuvo necesidad de subsanar por no encontrarse omisiones</w:t>
      </w:r>
      <w:r w:rsidR="00B537B4" w:rsidRPr="00B537B4">
        <w:rPr>
          <w:rFonts w:ascii="Arial" w:hAnsi="Arial" w:cs="Arial"/>
          <w:sz w:val="24"/>
          <w:szCs w:val="24"/>
          <w:highlight w:val="green"/>
        </w:rPr>
        <w:t>.</w:t>
      </w:r>
      <w:r w:rsidR="00B537B4">
        <w:rPr>
          <w:rFonts w:ascii="Arial" w:hAnsi="Arial" w:cs="Arial"/>
          <w:sz w:val="24"/>
          <w:szCs w:val="24"/>
        </w:rPr>
        <w:t xml:space="preserve"> </w:t>
      </w:r>
    </w:p>
    <w:p w14:paraId="55478A03" w14:textId="0D943F3E"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Político </w:t>
      </w:r>
      <w:r w:rsidR="00C64F37">
        <w:rPr>
          <w:rFonts w:ascii="Arial" w:hAnsi="Arial" w:cs="Arial"/>
          <w:sz w:val="24"/>
          <w:szCs w:val="24"/>
          <w:highlight w:val="yellow"/>
        </w:rPr>
        <w:t>PRI</w:t>
      </w:r>
      <w:r>
        <w:rPr>
          <w:rFonts w:ascii="Arial" w:hAnsi="Arial" w:cs="Arial"/>
          <w:sz w:val="24"/>
          <w:szCs w:val="24"/>
        </w:rPr>
        <w:t xml:space="preserve">, para integrar el H. Ayuntamiento del municipio de </w:t>
      </w:r>
      <w:proofErr w:type="spellStart"/>
      <w:r w:rsidR="00FA0A5C">
        <w:rPr>
          <w:rFonts w:ascii="Arial" w:hAnsi="Arial" w:cs="Arial"/>
          <w:sz w:val="24"/>
          <w:szCs w:val="24"/>
        </w:rPr>
        <w:t>Chicxulub</w:t>
      </w:r>
      <w:proofErr w:type="spellEnd"/>
      <w:r w:rsidR="00FA0A5C">
        <w:rPr>
          <w:rFonts w:ascii="Arial" w:hAnsi="Arial" w:cs="Arial"/>
          <w:sz w:val="24"/>
          <w:szCs w:val="24"/>
        </w:rPr>
        <w:t xml:space="preserve"> Pueblo</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56C1F361"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proofErr w:type="spellStart"/>
      <w:r w:rsidR="00FA0A5C">
        <w:rPr>
          <w:rFonts w:ascii="Arial" w:hAnsi="Arial" w:cs="Arial"/>
          <w:sz w:val="24"/>
          <w:szCs w:val="24"/>
        </w:rPr>
        <w:t>Chicxulub</w:t>
      </w:r>
      <w:proofErr w:type="spellEnd"/>
      <w:r w:rsidR="00FA0A5C">
        <w:rPr>
          <w:rFonts w:ascii="Arial" w:hAnsi="Arial" w:cs="Arial"/>
          <w:sz w:val="24"/>
          <w:szCs w:val="24"/>
        </w:rPr>
        <w:t xml:space="preserve"> Pueblo</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58426112"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r w:rsidR="00FA0A5C">
        <w:rPr>
          <w:rFonts w:ascii="Arial" w:hAnsi="Arial" w:cs="Arial"/>
          <w:b/>
          <w:bCs/>
          <w:sz w:val="24"/>
          <w:szCs w:val="24"/>
        </w:rPr>
        <w:t xml:space="preserve"> </w:t>
      </w:r>
    </w:p>
    <w:p w14:paraId="2358E262" w14:textId="0060F26D" w:rsidR="004828D2"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C64F37">
        <w:rPr>
          <w:rFonts w:ascii="Arial" w:hAnsi="Arial" w:cs="Arial"/>
          <w:sz w:val="24"/>
          <w:szCs w:val="24"/>
          <w:highlight w:val="yellow"/>
        </w:rPr>
        <w:t>PRI</w:t>
      </w:r>
      <w:r>
        <w:rPr>
          <w:rFonts w:ascii="Arial" w:hAnsi="Arial" w:cs="Arial"/>
          <w:sz w:val="24"/>
          <w:szCs w:val="24"/>
        </w:rPr>
        <w:t xml:space="preserve">, en el Proceso Electoral Ordinario 2020-2021 para integrar el H. Ayuntamiento de </w:t>
      </w:r>
      <w:proofErr w:type="spellStart"/>
      <w:r w:rsidR="00FA0A5C" w:rsidRPr="00FA0A5C">
        <w:rPr>
          <w:rFonts w:ascii="Arial" w:hAnsi="Arial" w:cs="Arial"/>
          <w:sz w:val="24"/>
          <w:szCs w:val="24"/>
          <w:highlight w:val="yellow"/>
        </w:rPr>
        <w:t>Chicxulub</w:t>
      </w:r>
      <w:proofErr w:type="spellEnd"/>
      <w:r w:rsidR="00FA0A5C" w:rsidRPr="00FA0A5C">
        <w:rPr>
          <w:rFonts w:ascii="Arial" w:hAnsi="Arial" w:cs="Arial"/>
          <w:sz w:val="24"/>
          <w:szCs w:val="24"/>
          <w:highlight w:val="yellow"/>
        </w:rPr>
        <w:t xml:space="preserve"> Pueblo</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04242540" w14:textId="77777777" w:rsidR="004828D2" w:rsidRDefault="004828D2" w:rsidP="0092779C">
      <w:pPr>
        <w:jc w:val="both"/>
        <w:rPr>
          <w:rFonts w:ascii="Arial" w:hAnsi="Arial" w:cs="Arial"/>
          <w:sz w:val="24"/>
          <w:szCs w:val="24"/>
        </w:rPr>
      </w:pPr>
    </w:p>
    <w:p w14:paraId="7D80C9A2" w14:textId="0F7AC4CB"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C64F37" w:rsidRPr="009E5923" w14:paraId="1B3F07F4" w14:textId="77777777" w:rsidTr="003D2744">
        <w:tc>
          <w:tcPr>
            <w:tcW w:w="790" w:type="dxa"/>
          </w:tcPr>
          <w:p w14:paraId="1038FE41" w14:textId="77777777" w:rsidR="00C64F37" w:rsidRPr="009E5923" w:rsidRDefault="00C64F37" w:rsidP="003D2744">
            <w:pPr>
              <w:jc w:val="both"/>
              <w:rPr>
                <w:rFonts w:ascii="Arial" w:hAnsi="Arial" w:cs="Arial"/>
                <w:b/>
                <w:bCs/>
                <w:sz w:val="24"/>
                <w:szCs w:val="24"/>
              </w:rPr>
            </w:pPr>
            <w:r w:rsidRPr="009E5923">
              <w:rPr>
                <w:rFonts w:ascii="Arial" w:hAnsi="Arial" w:cs="Arial"/>
                <w:b/>
                <w:bCs/>
                <w:sz w:val="24"/>
                <w:szCs w:val="24"/>
              </w:rPr>
              <w:t>Núm.</w:t>
            </w:r>
          </w:p>
        </w:tc>
        <w:tc>
          <w:tcPr>
            <w:tcW w:w="4025" w:type="dxa"/>
          </w:tcPr>
          <w:p w14:paraId="757EACE5" w14:textId="77777777" w:rsidR="00C64F37" w:rsidRPr="004828D2" w:rsidRDefault="00C64F37" w:rsidP="003D2744">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14:paraId="17BBD09E" w14:textId="77777777" w:rsidR="00C64F37" w:rsidRPr="004828D2" w:rsidRDefault="00C64F37" w:rsidP="003D2744">
            <w:pPr>
              <w:jc w:val="both"/>
              <w:rPr>
                <w:rFonts w:ascii="Arial" w:hAnsi="Arial" w:cs="Arial"/>
                <w:b/>
                <w:bCs/>
                <w:sz w:val="20"/>
                <w:szCs w:val="24"/>
              </w:rPr>
            </w:pPr>
            <w:r w:rsidRPr="004828D2">
              <w:rPr>
                <w:rFonts w:ascii="Arial" w:hAnsi="Arial" w:cs="Arial"/>
                <w:b/>
                <w:bCs/>
                <w:sz w:val="20"/>
                <w:szCs w:val="24"/>
              </w:rPr>
              <w:t>REGIDURÍAS DE SUPLENTES</w:t>
            </w:r>
          </w:p>
        </w:tc>
      </w:tr>
      <w:tr w:rsidR="00C64F37" w14:paraId="37243339" w14:textId="77777777" w:rsidTr="003D2744">
        <w:tc>
          <w:tcPr>
            <w:tcW w:w="790" w:type="dxa"/>
          </w:tcPr>
          <w:p w14:paraId="5C20EB37" w14:textId="77777777" w:rsidR="00C64F37" w:rsidRPr="00A8615F" w:rsidRDefault="00C64F37" w:rsidP="003D2744">
            <w:pPr>
              <w:jc w:val="both"/>
              <w:rPr>
                <w:rFonts w:ascii="Arial" w:hAnsi="Arial" w:cs="Arial"/>
                <w:b/>
                <w:bCs/>
                <w:sz w:val="24"/>
                <w:szCs w:val="24"/>
              </w:rPr>
            </w:pPr>
            <w:r w:rsidRPr="00A8615F">
              <w:rPr>
                <w:rFonts w:ascii="Arial" w:hAnsi="Arial" w:cs="Arial"/>
                <w:b/>
                <w:bCs/>
                <w:sz w:val="24"/>
                <w:szCs w:val="24"/>
              </w:rPr>
              <w:t>1</w:t>
            </w:r>
          </w:p>
        </w:tc>
        <w:tc>
          <w:tcPr>
            <w:tcW w:w="4025" w:type="dxa"/>
          </w:tcPr>
          <w:p w14:paraId="75EC7312" w14:textId="77777777" w:rsidR="00C64F37" w:rsidRDefault="00C64F37" w:rsidP="003D2744">
            <w:pPr>
              <w:jc w:val="both"/>
              <w:rPr>
                <w:rFonts w:ascii="Arial" w:hAnsi="Arial" w:cs="Arial"/>
                <w:sz w:val="24"/>
                <w:szCs w:val="24"/>
              </w:rPr>
            </w:pPr>
            <w:r>
              <w:rPr>
                <w:rFonts w:ascii="Arial" w:hAnsi="Arial" w:cs="Arial"/>
                <w:sz w:val="24"/>
                <w:szCs w:val="24"/>
              </w:rPr>
              <w:t>DANIELA ALICIA POOL ALVARADO</w:t>
            </w:r>
          </w:p>
        </w:tc>
        <w:tc>
          <w:tcPr>
            <w:tcW w:w="4013" w:type="dxa"/>
          </w:tcPr>
          <w:p w14:paraId="0B076E6E" w14:textId="77777777" w:rsidR="00C64F37" w:rsidRDefault="00C64F37" w:rsidP="003D2744">
            <w:pPr>
              <w:jc w:val="both"/>
              <w:rPr>
                <w:rFonts w:ascii="Arial" w:hAnsi="Arial" w:cs="Arial"/>
                <w:sz w:val="24"/>
                <w:szCs w:val="24"/>
              </w:rPr>
            </w:pPr>
            <w:r>
              <w:rPr>
                <w:rFonts w:ascii="Arial" w:hAnsi="Arial" w:cs="Arial"/>
                <w:sz w:val="24"/>
                <w:szCs w:val="24"/>
              </w:rPr>
              <w:t>MARIA ISABEL MARIN PECH</w:t>
            </w:r>
          </w:p>
        </w:tc>
      </w:tr>
      <w:tr w:rsidR="00C64F37" w14:paraId="5981D208" w14:textId="77777777" w:rsidTr="003D2744">
        <w:tc>
          <w:tcPr>
            <w:tcW w:w="790" w:type="dxa"/>
          </w:tcPr>
          <w:p w14:paraId="02CDF391" w14:textId="77777777" w:rsidR="00C64F37" w:rsidRPr="00A8615F" w:rsidRDefault="00C64F37" w:rsidP="003D2744">
            <w:pPr>
              <w:jc w:val="both"/>
              <w:rPr>
                <w:rFonts w:ascii="Arial" w:hAnsi="Arial" w:cs="Arial"/>
                <w:b/>
                <w:bCs/>
                <w:sz w:val="24"/>
                <w:szCs w:val="24"/>
              </w:rPr>
            </w:pPr>
            <w:r w:rsidRPr="00A8615F">
              <w:rPr>
                <w:rFonts w:ascii="Arial" w:hAnsi="Arial" w:cs="Arial"/>
                <w:b/>
                <w:bCs/>
                <w:sz w:val="24"/>
                <w:szCs w:val="24"/>
              </w:rPr>
              <w:t>2</w:t>
            </w:r>
          </w:p>
        </w:tc>
        <w:tc>
          <w:tcPr>
            <w:tcW w:w="4025" w:type="dxa"/>
          </w:tcPr>
          <w:p w14:paraId="3205BDB2" w14:textId="77777777" w:rsidR="00C64F37" w:rsidRDefault="00C64F37" w:rsidP="003D2744">
            <w:pPr>
              <w:jc w:val="both"/>
              <w:rPr>
                <w:rFonts w:ascii="Arial" w:hAnsi="Arial" w:cs="Arial"/>
                <w:sz w:val="24"/>
                <w:szCs w:val="24"/>
              </w:rPr>
            </w:pPr>
            <w:r>
              <w:rPr>
                <w:rFonts w:ascii="Arial" w:hAnsi="Arial" w:cs="Arial"/>
                <w:sz w:val="24"/>
                <w:szCs w:val="24"/>
              </w:rPr>
              <w:t>EDWIN CECILIO CISNEROS UC</w:t>
            </w:r>
          </w:p>
        </w:tc>
        <w:tc>
          <w:tcPr>
            <w:tcW w:w="4013" w:type="dxa"/>
          </w:tcPr>
          <w:p w14:paraId="214B1C1A" w14:textId="77777777" w:rsidR="00C64F37" w:rsidRDefault="00C64F37" w:rsidP="003D2744">
            <w:pPr>
              <w:jc w:val="both"/>
              <w:rPr>
                <w:rFonts w:ascii="Arial" w:hAnsi="Arial" w:cs="Arial"/>
                <w:sz w:val="24"/>
                <w:szCs w:val="24"/>
              </w:rPr>
            </w:pPr>
            <w:r>
              <w:rPr>
                <w:rFonts w:ascii="Arial" w:hAnsi="Arial" w:cs="Arial"/>
                <w:sz w:val="24"/>
                <w:szCs w:val="24"/>
              </w:rPr>
              <w:t>ALAN ISMAEL ESCALANTE PUGA</w:t>
            </w:r>
          </w:p>
        </w:tc>
      </w:tr>
      <w:tr w:rsidR="00C64F37" w14:paraId="24F440F2" w14:textId="77777777" w:rsidTr="003D2744">
        <w:tc>
          <w:tcPr>
            <w:tcW w:w="790" w:type="dxa"/>
          </w:tcPr>
          <w:p w14:paraId="64636CC6" w14:textId="77777777" w:rsidR="00C64F37" w:rsidRPr="00A8615F" w:rsidRDefault="00C64F37" w:rsidP="003D2744">
            <w:pPr>
              <w:jc w:val="both"/>
              <w:rPr>
                <w:rFonts w:ascii="Arial" w:hAnsi="Arial" w:cs="Arial"/>
                <w:b/>
                <w:bCs/>
                <w:sz w:val="24"/>
                <w:szCs w:val="24"/>
              </w:rPr>
            </w:pPr>
            <w:r w:rsidRPr="00A8615F">
              <w:rPr>
                <w:rFonts w:ascii="Arial" w:hAnsi="Arial" w:cs="Arial"/>
                <w:b/>
                <w:bCs/>
                <w:sz w:val="24"/>
                <w:szCs w:val="24"/>
              </w:rPr>
              <w:t>3</w:t>
            </w:r>
          </w:p>
        </w:tc>
        <w:tc>
          <w:tcPr>
            <w:tcW w:w="4025" w:type="dxa"/>
          </w:tcPr>
          <w:p w14:paraId="5550C909" w14:textId="77777777" w:rsidR="00C64F37" w:rsidRDefault="00C64F37" w:rsidP="003D2744">
            <w:pPr>
              <w:jc w:val="both"/>
              <w:rPr>
                <w:rFonts w:ascii="Arial" w:hAnsi="Arial" w:cs="Arial"/>
                <w:sz w:val="24"/>
                <w:szCs w:val="24"/>
              </w:rPr>
            </w:pPr>
            <w:r>
              <w:rPr>
                <w:rFonts w:ascii="Arial" w:hAnsi="Arial" w:cs="Arial"/>
                <w:sz w:val="24"/>
                <w:szCs w:val="24"/>
              </w:rPr>
              <w:t>MARIA GUADALUPE CAB CAUICH</w:t>
            </w:r>
          </w:p>
        </w:tc>
        <w:tc>
          <w:tcPr>
            <w:tcW w:w="4013" w:type="dxa"/>
          </w:tcPr>
          <w:p w14:paraId="173D47B2" w14:textId="77777777" w:rsidR="00C64F37" w:rsidRDefault="00C64F37" w:rsidP="003D2744">
            <w:pPr>
              <w:jc w:val="both"/>
              <w:rPr>
                <w:rFonts w:ascii="Arial" w:hAnsi="Arial" w:cs="Arial"/>
                <w:sz w:val="24"/>
                <w:szCs w:val="24"/>
              </w:rPr>
            </w:pPr>
            <w:r>
              <w:rPr>
                <w:rFonts w:ascii="Arial" w:hAnsi="Arial" w:cs="Arial"/>
                <w:sz w:val="24"/>
                <w:szCs w:val="24"/>
              </w:rPr>
              <w:t>MARIA OFELIA TEC TAH</w:t>
            </w:r>
          </w:p>
        </w:tc>
      </w:tr>
    </w:tbl>
    <w:p w14:paraId="73DC4A61" w14:textId="77777777" w:rsidR="00C64F37" w:rsidRPr="006A58E1" w:rsidRDefault="00C64F37" w:rsidP="0092779C">
      <w:pPr>
        <w:jc w:val="both"/>
        <w:rPr>
          <w:rFonts w:ascii="Arial" w:hAnsi="Arial" w:cs="Arial"/>
          <w:b/>
          <w:bCs/>
          <w:sz w:val="24"/>
          <w:szCs w:val="24"/>
        </w:rPr>
      </w:pPr>
    </w:p>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C64F37" w:rsidRPr="009E5923" w14:paraId="6C4B5AC7" w14:textId="77777777" w:rsidTr="003D2744">
        <w:tc>
          <w:tcPr>
            <w:tcW w:w="790" w:type="dxa"/>
          </w:tcPr>
          <w:p w14:paraId="54909FD8" w14:textId="77777777" w:rsidR="00C64F37" w:rsidRPr="009E5923" w:rsidRDefault="00C64F37" w:rsidP="003D2744">
            <w:pPr>
              <w:jc w:val="both"/>
              <w:rPr>
                <w:rFonts w:ascii="Arial" w:hAnsi="Arial" w:cs="Arial"/>
                <w:b/>
                <w:bCs/>
                <w:sz w:val="24"/>
                <w:szCs w:val="24"/>
              </w:rPr>
            </w:pPr>
            <w:r w:rsidRPr="009E5923">
              <w:rPr>
                <w:rFonts w:ascii="Arial" w:hAnsi="Arial" w:cs="Arial"/>
                <w:b/>
                <w:bCs/>
                <w:sz w:val="24"/>
                <w:szCs w:val="24"/>
              </w:rPr>
              <w:t>Núm.</w:t>
            </w:r>
          </w:p>
        </w:tc>
        <w:tc>
          <w:tcPr>
            <w:tcW w:w="4025" w:type="dxa"/>
          </w:tcPr>
          <w:p w14:paraId="4B50FF81" w14:textId="77777777" w:rsidR="00C64F37" w:rsidRPr="004828D2" w:rsidRDefault="00C64F37" w:rsidP="003D2744">
            <w:pPr>
              <w:jc w:val="both"/>
              <w:rPr>
                <w:rFonts w:ascii="Arial" w:hAnsi="Arial" w:cs="Arial"/>
                <w:b/>
                <w:bCs/>
                <w:sz w:val="20"/>
                <w:szCs w:val="24"/>
              </w:rPr>
            </w:pPr>
            <w:r w:rsidRPr="004828D2">
              <w:rPr>
                <w:rFonts w:ascii="Arial" w:hAnsi="Arial" w:cs="Arial"/>
                <w:b/>
                <w:bCs/>
                <w:sz w:val="20"/>
                <w:szCs w:val="24"/>
              </w:rPr>
              <w:t>REGIDURÍAS DE PROPIETARIOS(AS)</w:t>
            </w:r>
          </w:p>
        </w:tc>
        <w:tc>
          <w:tcPr>
            <w:tcW w:w="4013" w:type="dxa"/>
          </w:tcPr>
          <w:p w14:paraId="7D66D020" w14:textId="77777777" w:rsidR="00C64F37" w:rsidRPr="004828D2" w:rsidRDefault="00C64F37" w:rsidP="003D2744">
            <w:pPr>
              <w:jc w:val="both"/>
              <w:rPr>
                <w:rFonts w:ascii="Arial" w:hAnsi="Arial" w:cs="Arial"/>
                <w:b/>
                <w:bCs/>
                <w:sz w:val="20"/>
                <w:szCs w:val="24"/>
              </w:rPr>
            </w:pPr>
            <w:r w:rsidRPr="004828D2">
              <w:rPr>
                <w:rFonts w:ascii="Arial" w:hAnsi="Arial" w:cs="Arial"/>
                <w:b/>
                <w:bCs/>
                <w:sz w:val="20"/>
                <w:szCs w:val="24"/>
              </w:rPr>
              <w:t>REGIDURÍAS DE SUPLENTES</w:t>
            </w:r>
          </w:p>
        </w:tc>
      </w:tr>
      <w:tr w:rsidR="00C64F37" w14:paraId="351385B4" w14:textId="77777777" w:rsidTr="003D2744">
        <w:tc>
          <w:tcPr>
            <w:tcW w:w="790" w:type="dxa"/>
          </w:tcPr>
          <w:p w14:paraId="21E66793" w14:textId="77777777" w:rsidR="00C64F37" w:rsidRPr="00A8615F" w:rsidRDefault="00C64F37" w:rsidP="003D2744">
            <w:pPr>
              <w:jc w:val="both"/>
              <w:rPr>
                <w:rFonts w:ascii="Arial" w:hAnsi="Arial" w:cs="Arial"/>
                <w:b/>
                <w:bCs/>
                <w:sz w:val="24"/>
                <w:szCs w:val="24"/>
              </w:rPr>
            </w:pPr>
            <w:r w:rsidRPr="00A8615F">
              <w:rPr>
                <w:rFonts w:ascii="Arial" w:hAnsi="Arial" w:cs="Arial"/>
                <w:b/>
                <w:bCs/>
                <w:sz w:val="24"/>
                <w:szCs w:val="24"/>
              </w:rPr>
              <w:t>4</w:t>
            </w:r>
          </w:p>
        </w:tc>
        <w:tc>
          <w:tcPr>
            <w:tcW w:w="4025" w:type="dxa"/>
          </w:tcPr>
          <w:p w14:paraId="1F203FCE" w14:textId="77777777" w:rsidR="00C64F37" w:rsidRDefault="00C64F37" w:rsidP="003D2744">
            <w:pPr>
              <w:jc w:val="both"/>
              <w:rPr>
                <w:rFonts w:ascii="Arial" w:hAnsi="Arial" w:cs="Arial"/>
                <w:sz w:val="24"/>
                <w:szCs w:val="24"/>
              </w:rPr>
            </w:pPr>
            <w:r>
              <w:rPr>
                <w:rFonts w:ascii="Arial" w:hAnsi="Arial" w:cs="Arial"/>
                <w:sz w:val="24"/>
                <w:szCs w:val="24"/>
              </w:rPr>
              <w:t>JESUS DE LA CRUZ AGUILAR KU</w:t>
            </w:r>
          </w:p>
        </w:tc>
        <w:tc>
          <w:tcPr>
            <w:tcW w:w="4013" w:type="dxa"/>
          </w:tcPr>
          <w:p w14:paraId="333C8DAA" w14:textId="77777777" w:rsidR="00C64F37" w:rsidRDefault="00C64F37" w:rsidP="003D2744">
            <w:pPr>
              <w:jc w:val="both"/>
              <w:rPr>
                <w:rFonts w:ascii="Arial" w:hAnsi="Arial" w:cs="Arial"/>
                <w:sz w:val="24"/>
                <w:szCs w:val="24"/>
              </w:rPr>
            </w:pPr>
            <w:r>
              <w:rPr>
                <w:rFonts w:ascii="Arial" w:hAnsi="Arial" w:cs="Arial"/>
                <w:sz w:val="24"/>
                <w:szCs w:val="24"/>
              </w:rPr>
              <w:t>EBERTH DE JESUS TUN CHAN</w:t>
            </w:r>
          </w:p>
        </w:tc>
      </w:tr>
      <w:tr w:rsidR="00C64F37" w14:paraId="28AE40AA" w14:textId="77777777" w:rsidTr="003D2744">
        <w:tc>
          <w:tcPr>
            <w:tcW w:w="790" w:type="dxa"/>
          </w:tcPr>
          <w:p w14:paraId="48FD2727" w14:textId="77777777" w:rsidR="00C64F37" w:rsidRPr="00A8615F" w:rsidRDefault="00C64F37" w:rsidP="003D2744">
            <w:pPr>
              <w:jc w:val="both"/>
              <w:rPr>
                <w:rFonts w:ascii="Arial" w:hAnsi="Arial" w:cs="Arial"/>
                <w:b/>
                <w:bCs/>
                <w:sz w:val="24"/>
                <w:szCs w:val="24"/>
              </w:rPr>
            </w:pPr>
            <w:r w:rsidRPr="00A8615F">
              <w:rPr>
                <w:rFonts w:ascii="Arial" w:hAnsi="Arial" w:cs="Arial"/>
                <w:b/>
                <w:bCs/>
                <w:sz w:val="24"/>
                <w:szCs w:val="24"/>
              </w:rPr>
              <w:t>5</w:t>
            </w:r>
          </w:p>
        </w:tc>
        <w:tc>
          <w:tcPr>
            <w:tcW w:w="4025" w:type="dxa"/>
          </w:tcPr>
          <w:p w14:paraId="32D3D810" w14:textId="77777777" w:rsidR="00C64F37" w:rsidRDefault="00C64F37" w:rsidP="003D2744">
            <w:pPr>
              <w:jc w:val="both"/>
              <w:rPr>
                <w:rFonts w:ascii="Arial" w:hAnsi="Arial" w:cs="Arial"/>
                <w:sz w:val="24"/>
                <w:szCs w:val="24"/>
              </w:rPr>
            </w:pPr>
            <w:r>
              <w:rPr>
                <w:rFonts w:ascii="Arial" w:hAnsi="Arial" w:cs="Arial"/>
                <w:sz w:val="24"/>
                <w:szCs w:val="24"/>
              </w:rPr>
              <w:t>ARGELIA JANET PECH CEN</w:t>
            </w:r>
          </w:p>
        </w:tc>
        <w:tc>
          <w:tcPr>
            <w:tcW w:w="4013" w:type="dxa"/>
          </w:tcPr>
          <w:p w14:paraId="0414AFF0" w14:textId="2485F8EE" w:rsidR="00C64F37" w:rsidRDefault="00C64F37" w:rsidP="003D2744">
            <w:pPr>
              <w:jc w:val="both"/>
              <w:rPr>
                <w:rFonts w:ascii="Arial" w:hAnsi="Arial" w:cs="Arial"/>
                <w:sz w:val="24"/>
                <w:szCs w:val="24"/>
              </w:rPr>
            </w:pPr>
            <w:r>
              <w:rPr>
                <w:rFonts w:ascii="Arial" w:hAnsi="Arial" w:cs="Arial"/>
                <w:sz w:val="24"/>
                <w:szCs w:val="24"/>
              </w:rPr>
              <w:t>JOHANA ABIGAIL</w:t>
            </w:r>
            <w:r w:rsidR="0056623B">
              <w:rPr>
                <w:rFonts w:ascii="Arial" w:hAnsi="Arial" w:cs="Arial"/>
                <w:sz w:val="24"/>
                <w:szCs w:val="24"/>
              </w:rPr>
              <w:t xml:space="preserve"> </w:t>
            </w:r>
            <w:bookmarkStart w:id="1" w:name="_GoBack"/>
            <w:bookmarkEnd w:id="1"/>
            <w:r>
              <w:rPr>
                <w:rFonts w:ascii="Arial" w:hAnsi="Arial" w:cs="Arial"/>
                <w:sz w:val="24"/>
                <w:szCs w:val="24"/>
              </w:rPr>
              <w:t>MAY KU</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00C98D2"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64F37">
        <w:rPr>
          <w:rFonts w:ascii="Arial" w:hAnsi="Arial" w:cs="Arial"/>
          <w:sz w:val="24"/>
          <w:szCs w:val="24"/>
          <w:highlight w:val="yellow"/>
        </w:rPr>
        <w:t>PRI</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1EC0C534" w14:textId="77777777" w:rsidR="00BD06E4" w:rsidRDefault="00BD06E4" w:rsidP="00BD06E4">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proofErr w:type="spellStart"/>
      <w:r>
        <w:rPr>
          <w:rFonts w:ascii="Arial" w:hAnsi="Arial" w:cs="Arial"/>
          <w:sz w:val="24"/>
          <w:szCs w:val="24"/>
          <w:highlight w:val="yellow"/>
        </w:rPr>
        <w:t>C</w:t>
      </w:r>
      <w:r>
        <w:rPr>
          <w:rFonts w:ascii="Arial" w:hAnsi="Arial" w:cs="Arial"/>
          <w:sz w:val="24"/>
          <w:szCs w:val="24"/>
        </w:rPr>
        <w:t>hicxulub</w:t>
      </w:r>
      <w:proofErr w:type="spellEnd"/>
      <w:r>
        <w:rPr>
          <w:rFonts w:ascii="Arial" w:hAnsi="Arial" w:cs="Arial"/>
          <w:sz w:val="24"/>
          <w:szCs w:val="24"/>
        </w:rPr>
        <w:t xml:space="preserve"> Pueblo, Yucatán, celebrada el día 04 de </w:t>
      </w:r>
      <w:proofErr w:type="gramStart"/>
      <w:r>
        <w:rPr>
          <w:rFonts w:ascii="Arial" w:hAnsi="Arial" w:cs="Arial"/>
          <w:sz w:val="24"/>
          <w:szCs w:val="24"/>
        </w:rPr>
        <w:t>Abril</w:t>
      </w:r>
      <w:proofErr w:type="gramEnd"/>
      <w:r>
        <w:rPr>
          <w:rFonts w:ascii="Arial" w:hAnsi="Arial" w:cs="Arial"/>
          <w:sz w:val="24"/>
          <w:szCs w:val="24"/>
        </w:rPr>
        <w:t xml:space="preserve"> de dos mil veintiuno, por Unanimidad de votos de los C.C. Consejeras y Consejeros Electorales de </w:t>
      </w:r>
      <w:proofErr w:type="spellStart"/>
      <w:r>
        <w:rPr>
          <w:rFonts w:ascii="Arial" w:hAnsi="Arial" w:cs="Arial"/>
          <w:sz w:val="24"/>
          <w:szCs w:val="24"/>
        </w:rPr>
        <w:t>Chicxulub</w:t>
      </w:r>
      <w:proofErr w:type="spellEnd"/>
      <w:r>
        <w:rPr>
          <w:rFonts w:ascii="Arial" w:hAnsi="Arial" w:cs="Arial"/>
          <w:sz w:val="24"/>
          <w:szCs w:val="24"/>
        </w:rPr>
        <w:t xml:space="preserve"> Pueblo. </w:t>
      </w:r>
    </w:p>
    <w:p w14:paraId="645A247F" w14:textId="77777777" w:rsidR="00BD06E4" w:rsidRDefault="00BD06E4" w:rsidP="00BD06E4">
      <w:pPr>
        <w:jc w:val="both"/>
        <w:rPr>
          <w:rFonts w:ascii="Arial" w:hAnsi="Arial" w:cs="Arial"/>
          <w:sz w:val="24"/>
          <w:szCs w:val="24"/>
        </w:rPr>
      </w:pPr>
    </w:p>
    <w:p w14:paraId="7136F659" w14:textId="77777777" w:rsidR="00BD06E4" w:rsidRDefault="00BD06E4" w:rsidP="00BD06E4">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D06E4" w14:paraId="01F9CA5F" w14:textId="77777777" w:rsidTr="001840A2">
        <w:tc>
          <w:tcPr>
            <w:tcW w:w="4414" w:type="dxa"/>
          </w:tcPr>
          <w:p w14:paraId="6495A8D8" w14:textId="77777777" w:rsidR="00BD06E4" w:rsidRDefault="00BD06E4" w:rsidP="001840A2">
            <w:pPr>
              <w:jc w:val="both"/>
              <w:rPr>
                <w:rFonts w:ascii="Arial" w:hAnsi="Arial" w:cs="Arial"/>
                <w:sz w:val="24"/>
                <w:szCs w:val="24"/>
              </w:rPr>
            </w:pPr>
            <w:r>
              <w:rPr>
                <w:rFonts w:ascii="Arial" w:hAnsi="Arial" w:cs="Arial"/>
                <w:sz w:val="24"/>
                <w:szCs w:val="24"/>
              </w:rPr>
              <w:t>_____________________________</w:t>
            </w:r>
          </w:p>
        </w:tc>
        <w:tc>
          <w:tcPr>
            <w:tcW w:w="4414" w:type="dxa"/>
          </w:tcPr>
          <w:p w14:paraId="5C7B51B1" w14:textId="77777777" w:rsidR="00BD06E4" w:rsidRDefault="00BD06E4" w:rsidP="001840A2">
            <w:pPr>
              <w:jc w:val="both"/>
              <w:rPr>
                <w:rFonts w:ascii="Arial" w:hAnsi="Arial" w:cs="Arial"/>
                <w:sz w:val="24"/>
                <w:szCs w:val="24"/>
              </w:rPr>
            </w:pPr>
            <w:r>
              <w:rPr>
                <w:rFonts w:ascii="Arial" w:hAnsi="Arial" w:cs="Arial"/>
                <w:sz w:val="24"/>
                <w:szCs w:val="24"/>
              </w:rPr>
              <w:t>_______________________________</w:t>
            </w:r>
          </w:p>
        </w:tc>
      </w:tr>
      <w:tr w:rsidR="00BD06E4" w14:paraId="7E66A039" w14:textId="77777777" w:rsidTr="001840A2">
        <w:trPr>
          <w:trHeight w:val="637"/>
        </w:trPr>
        <w:tc>
          <w:tcPr>
            <w:tcW w:w="4414" w:type="dxa"/>
          </w:tcPr>
          <w:p w14:paraId="66D55488" w14:textId="77777777" w:rsidR="00BD06E4" w:rsidRPr="00717CC4" w:rsidRDefault="00BD06E4" w:rsidP="001840A2">
            <w:pPr>
              <w:jc w:val="center"/>
              <w:rPr>
                <w:rFonts w:ascii="Arial" w:hAnsi="Arial" w:cs="Arial"/>
                <w:b/>
                <w:bCs/>
                <w:sz w:val="24"/>
                <w:szCs w:val="24"/>
                <w:highlight w:val="yellow"/>
              </w:rPr>
            </w:pPr>
            <w:r>
              <w:rPr>
                <w:rFonts w:ascii="Arial" w:hAnsi="Arial" w:cs="Arial"/>
                <w:b/>
                <w:bCs/>
                <w:sz w:val="24"/>
                <w:szCs w:val="24"/>
                <w:highlight w:val="yellow"/>
              </w:rPr>
              <w:t>C. MARIA MERCEDES LEY KU</w:t>
            </w:r>
          </w:p>
          <w:p w14:paraId="2118E431" w14:textId="77777777" w:rsidR="00BD06E4" w:rsidRPr="00717CC4" w:rsidRDefault="00BD06E4" w:rsidP="001840A2">
            <w:pPr>
              <w:jc w:val="center"/>
              <w:rPr>
                <w:rFonts w:ascii="Arial" w:hAnsi="Arial" w:cs="Arial"/>
                <w:b/>
                <w:bCs/>
                <w:sz w:val="24"/>
                <w:szCs w:val="24"/>
                <w:highlight w:val="yellow"/>
              </w:rPr>
            </w:pPr>
            <w:r w:rsidRPr="00717CC4">
              <w:rPr>
                <w:rFonts w:ascii="Arial" w:hAnsi="Arial" w:cs="Arial"/>
                <w:b/>
                <w:bCs/>
                <w:sz w:val="24"/>
                <w:szCs w:val="24"/>
                <w:highlight w:val="yellow"/>
              </w:rPr>
              <w:t>Consejera/o Presidente</w:t>
            </w:r>
          </w:p>
        </w:tc>
        <w:tc>
          <w:tcPr>
            <w:tcW w:w="4414" w:type="dxa"/>
          </w:tcPr>
          <w:p w14:paraId="52F6DCCE" w14:textId="77777777" w:rsidR="00BD06E4" w:rsidRPr="00717CC4" w:rsidRDefault="00BD06E4" w:rsidP="001840A2">
            <w:pPr>
              <w:jc w:val="center"/>
              <w:rPr>
                <w:rFonts w:ascii="Arial" w:hAnsi="Arial" w:cs="Arial"/>
                <w:b/>
                <w:bCs/>
                <w:sz w:val="24"/>
                <w:szCs w:val="24"/>
                <w:highlight w:val="yellow"/>
              </w:rPr>
            </w:pPr>
            <w:r>
              <w:rPr>
                <w:rFonts w:ascii="Arial" w:hAnsi="Arial" w:cs="Arial"/>
                <w:b/>
                <w:bCs/>
                <w:sz w:val="24"/>
                <w:szCs w:val="24"/>
                <w:highlight w:val="yellow"/>
              </w:rPr>
              <w:t>C. NATANAEL JONATAN TORRES PECH</w:t>
            </w:r>
          </w:p>
          <w:p w14:paraId="63819CBB" w14:textId="77777777" w:rsidR="00BD06E4" w:rsidRPr="00717CC4" w:rsidRDefault="00BD06E4" w:rsidP="001840A2">
            <w:pPr>
              <w:jc w:val="center"/>
              <w:rPr>
                <w:rFonts w:ascii="Arial" w:hAnsi="Arial" w:cs="Arial"/>
                <w:b/>
                <w:bCs/>
                <w:sz w:val="24"/>
                <w:szCs w:val="24"/>
                <w:highlight w:val="yellow"/>
              </w:rPr>
            </w:pPr>
            <w:r>
              <w:rPr>
                <w:rFonts w:ascii="Arial" w:hAnsi="Arial" w:cs="Arial"/>
                <w:b/>
                <w:bCs/>
                <w:sz w:val="24"/>
                <w:szCs w:val="24"/>
                <w:highlight w:val="yellow"/>
              </w:rPr>
              <w:t>Secretario Ejecutiv</w:t>
            </w:r>
            <w:r w:rsidRPr="00717CC4">
              <w:rPr>
                <w:rFonts w:ascii="Arial" w:hAnsi="Arial" w:cs="Arial"/>
                <w:b/>
                <w:bCs/>
                <w:sz w:val="24"/>
                <w:szCs w:val="24"/>
                <w:highlight w:val="yellow"/>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C08B2" w14:textId="77777777" w:rsidR="00491542" w:rsidRDefault="00491542" w:rsidP="0092779C">
      <w:pPr>
        <w:spacing w:after="0" w:line="240" w:lineRule="auto"/>
      </w:pPr>
      <w:r>
        <w:separator/>
      </w:r>
    </w:p>
  </w:endnote>
  <w:endnote w:type="continuationSeparator" w:id="0">
    <w:p w14:paraId="5BF224D0" w14:textId="77777777" w:rsidR="00491542" w:rsidRDefault="0049154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40E08304"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6623B">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6623B">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B0409" w14:textId="77777777" w:rsidR="00491542" w:rsidRDefault="00491542" w:rsidP="0092779C">
      <w:pPr>
        <w:spacing w:after="0" w:line="240" w:lineRule="auto"/>
      </w:pPr>
      <w:r>
        <w:separator/>
      </w:r>
    </w:p>
  </w:footnote>
  <w:footnote w:type="continuationSeparator" w:id="0">
    <w:p w14:paraId="3706674A" w14:textId="77777777" w:rsidR="00491542" w:rsidRDefault="0049154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6674"/>
    <w:rsid w:val="00237B01"/>
    <w:rsid w:val="00257F0B"/>
    <w:rsid w:val="00276117"/>
    <w:rsid w:val="002D1833"/>
    <w:rsid w:val="002D5878"/>
    <w:rsid w:val="002D7484"/>
    <w:rsid w:val="00312BD0"/>
    <w:rsid w:val="00366312"/>
    <w:rsid w:val="00397E03"/>
    <w:rsid w:val="003C5DE2"/>
    <w:rsid w:val="003C739B"/>
    <w:rsid w:val="003F4F56"/>
    <w:rsid w:val="004062A6"/>
    <w:rsid w:val="004063A7"/>
    <w:rsid w:val="0040722F"/>
    <w:rsid w:val="004107D8"/>
    <w:rsid w:val="004324CB"/>
    <w:rsid w:val="00455ED6"/>
    <w:rsid w:val="004828D2"/>
    <w:rsid w:val="00486729"/>
    <w:rsid w:val="00491542"/>
    <w:rsid w:val="00491835"/>
    <w:rsid w:val="004977C7"/>
    <w:rsid w:val="004C4117"/>
    <w:rsid w:val="00503393"/>
    <w:rsid w:val="0054044F"/>
    <w:rsid w:val="0056623B"/>
    <w:rsid w:val="00566C2D"/>
    <w:rsid w:val="0058715E"/>
    <w:rsid w:val="005E1302"/>
    <w:rsid w:val="0061253F"/>
    <w:rsid w:val="006134DD"/>
    <w:rsid w:val="00615209"/>
    <w:rsid w:val="006176D3"/>
    <w:rsid w:val="006257E9"/>
    <w:rsid w:val="00643F9D"/>
    <w:rsid w:val="00662FBB"/>
    <w:rsid w:val="00687A0C"/>
    <w:rsid w:val="00695D67"/>
    <w:rsid w:val="006A2C16"/>
    <w:rsid w:val="006A58E1"/>
    <w:rsid w:val="006B3750"/>
    <w:rsid w:val="006F366C"/>
    <w:rsid w:val="006F3D74"/>
    <w:rsid w:val="007061BF"/>
    <w:rsid w:val="00717CC4"/>
    <w:rsid w:val="00723739"/>
    <w:rsid w:val="007523F9"/>
    <w:rsid w:val="00783E7B"/>
    <w:rsid w:val="007A4567"/>
    <w:rsid w:val="007E0DC2"/>
    <w:rsid w:val="0081249A"/>
    <w:rsid w:val="0083333F"/>
    <w:rsid w:val="00836350"/>
    <w:rsid w:val="00884B03"/>
    <w:rsid w:val="008C2B68"/>
    <w:rsid w:val="008C3204"/>
    <w:rsid w:val="00906482"/>
    <w:rsid w:val="00915ECE"/>
    <w:rsid w:val="0092779C"/>
    <w:rsid w:val="00935634"/>
    <w:rsid w:val="009512EF"/>
    <w:rsid w:val="009704AF"/>
    <w:rsid w:val="009A3B43"/>
    <w:rsid w:val="009B601B"/>
    <w:rsid w:val="009D6597"/>
    <w:rsid w:val="009E2829"/>
    <w:rsid w:val="009E4A97"/>
    <w:rsid w:val="009E5923"/>
    <w:rsid w:val="00A7795D"/>
    <w:rsid w:val="00A8615F"/>
    <w:rsid w:val="00A86911"/>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D06E4"/>
    <w:rsid w:val="00BF28C3"/>
    <w:rsid w:val="00C0734C"/>
    <w:rsid w:val="00C35F2F"/>
    <w:rsid w:val="00C4343B"/>
    <w:rsid w:val="00C47B02"/>
    <w:rsid w:val="00C64F37"/>
    <w:rsid w:val="00C85B16"/>
    <w:rsid w:val="00C95A81"/>
    <w:rsid w:val="00C96E2A"/>
    <w:rsid w:val="00CB30A2"/>
    <w:rsid w:val="00CC1493"/>
    <w:rsid w:val="00D4229C"/>
    <w:rsid w:val="00D729AD"/>
    <w:rsid w:val="00DC3F5E"/>
    <w:rsid w:val="00DC7B17"/>
    <w:rsid w:val="00DD5A3F"/>
    <w:rsid w:val="00E01738"/>
    <w:rsid w:val="00E124AF"/>
    <w:rsid w:val="00E51F7D"/>
    <w:rsid w:val="00E563DB"/>
    <w:rsid w:val="00E63BC3"/>
    <w:rsid w:val="00E72DCD"/>
    <w:rsid w:val="00ED4F75"/>
    <w:rsid w:val="00EF48F8"/>
    <w:rsid w:val="00F06D61"/>
    <w:rsid w:val="00F154F5"/>
    <w:rsid w:val="00F26728"/>
    <w:rsid w:val="00FA0A5C"/>
    <w:rsid w:val="00FB2F66"/>
    <w:rsid w:val="00FD59E2"/>
    <w:rsid w:val="00FE19A7"/>
    <w:rsid w:val="00FF0DD9"/>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FC42-DA61-4707-B912-734026A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9</Pages>
  <Words>3318</Words>
  <Characters>18255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dcterms:created xsi:type="dcterms:W3CDTF">2021-03-01T15:55:00Z</dcterms:created>
  <dcterms:modified xsi:type="dcterms:W3CDTF">2021-04-04T14:42:00Z</dcterms:modified>
</cp:coreProperties>
</file>