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7E9A" w14:textId="5F9F0D30" w:rsidR="00727BA1" w:rsidRDefault="003812B4" w:rsidP="00727BA1">
      <w:pPr>
        <w:jc w:val="center"/>
        <w:rPr>
          <w:rFonts w:ascii="Arial" w:hAnsi="Arial" w:cs="Arial"/>
          <w:b/>
          <w:bCs/>
          <w:sz w:val="24"/>
          <w:szCs w:val="24"/>
        </w:rPr>
      </w:pPr>
      <w:r>
        <w:rPr>
          <w:rFonts w:ascii="Arial" w:hAnsi="Arial" w:cs="Arial"/>
          <w:b/>
          <w:bCs/>
          <w:sz w:val="24"/>
          <w:szCs w:val="24"/>
        </w:rPr>
        <w:t>ACUERDO CM/008/2021/DZILAM DE BRAVO</w:t>
      </w:r>
    </w:p>
    <w:p w14:paraId="3F99864E" w14:textId="77777777" w:rsidR="00727BA1" w:rsidRDefault="00727BA1" w:rsidP="00727BA1">
      <w:pPr>
        <w:jc w:val="both"/>
        <w:rPr>
          <w:rFonts w:ascii="Arial" w:hAnsi="Arial" w:cs="Arial"/>
          <w:b/>
          <w:bCs/>
          <w:sz w:val="24"/>
          <w:szCs w:val="24"/>
        </w:rPr>
      </w:pPr>
    </w:p>
    <w:p w14:paraId="7FC22630" w14:textId="1E59FFCF" w:rsidR="00727BA1" w:rsidRDefault="00727BA1" w:rsidP="00727BA1">
      <w:pPr>
        <w:jc w:val="both"/>
        <w:rPr>
          <w:rFonts w:ascii="Arial" w:hAnsi="Arial" w:cs="Arial"/>
          <w:b/>
          <w:bCs/>
          <w:sz w:val="24"/>
          <w:szCs w:val="24"/>
        </w:rPr>
      </w:pPr>
      <w:r>
        <w:rPr>
          <w:rFonts w:ascii="Arial" w:hAnsi="Arial" w:cs="Arial"/>
          <w:b/>
          <w:bCs/>
          <w:sz w:val="24"/>
          <w:szCs w:val="24"/>
        </w:rPr>
        <w:t>ACUERDO DEL</w:t>
      </w:r>
      <w:r w:rsidR="003812B4">
        <w:rPr>
          <w:rFonts w:ascii="Arial" w:hAnsi="Arial" w:cs="Arial"/>
          <w:b/>
          <w:bCs/>
          <w:sz w:val="24"/>
          <w:szCs w:val="24"/>
        </w:rPr>
        <w:t xml:space="preserve"> CONSEJO MUNICIPAL ELECTORAL DE DZILAM DE BRAVO</w:t>
      </w:r>
      <w:r>
        <w:rPr>
          <w:rFonts w:ascii="Arial" w:hAnsi="Arial" w:cs="Arial"/>
          <w:b/>
          <w:bCs/>
          <w:sz w:val="24"/>
          <w:szCs w:val="24"/>
        </w:rPr>
        <w:t>, YUCATÁN POR EL CUAL SE REGISTRA LA PLANILLA DE CANDIDATOS Y CANDIDATAS A REGIDORES POR EL PRINCIPIO DE MAYORÍA RELATIVA Y DE REPRESENTACIÓN PROPORCIONAL, POS</w:t>
      </w:r>
      <w:r w:rsidR="003812B4">
        <w:rPr>
          <w:rFonts w:ascii="Arial" w:hAnsi="Arial" w:cs="Arial"/>
          <w:b/>
          <w:bCs/>
          <w:sz w:val="24"/>
          <w:szCs w:val="24"/>
        </w:rPr>
        <w:t>TULADOS POR EL PARTIDO POLÍTICO MORENA</w:t>
      </w:r>
      <w:r>
        <w:rPr>
          <w:rFonts w:ascii="Arial" w:hAnsi="Arial" w:cs="Arial"/>
          <w:b/>
          <w:bCs/>
          <w:sz w:val="24"/>
          <w:szCs w:val="24"/>
        </w:rPr>
        <w:t>, EN EL PROCESO ELECTORAL ORDINARIO 2020-2021, PARA INTEGRAR EL H</w:t>
      </w:r>
      <w:r w:rsidR="003812B4">
        <w:rPr>
          <w:rFonts w:ascii="Arial" w:hAnsi="Arial" w:cs="Arial"/>
          <w:b/>
          <w:bCs/>
          <w:sz w:val="24"/>
          <w:szCs w:val="24"/>
        </w:rPr>
        <w:t>. AYUNTAMIENTO DEL MUNICIPIO DE DZILAM DE BRAVO</w:t>
      </w:r>
      <w:r>
        <w:rPr>
          <w:rFonts w:ascii="Arial" w:hAnsi="Arial" w:cs="Arial"/>
          <w:b/>
          <w:bCs/>
          <w:sz w:val="24"/>
          <w:szCs w:val="24"/>
        </w:rPr>
        <w:t>, YUCATÁN.</w:t>
      </w:r>
    </w:p>
    <w:p w14:paraId="5640070F" w14:textId="77777777" w:rsidR="00727BA1" w:rsidRDefault="00727BA1" w:rsidP="00727BA1">
      <w:pPr>
        <w:jc w:val="both"/>
        <w:rPr>
          <w:rFonts w:ascii="Arial" w:hAnsi="Arial" w:cs="Arial"/>
          <w:b/>
          <w:bCs/>
          <w:sz w:val="24"/>
          <w:szCs w:val="24"/>
        </w:rPr>
      </w:pPr>
    </w:p>
    <w:p w14:paraId="715B9B98" w14:textId="77777777" w:rsidR="00727BA1" w:rsidRDefault="00727BA1" w:rsidP="00727BA1">
      <w:pPr>
        <w:jc w:val="center"/>
        <w:rPr>
          <w:rFonts w:ascii="Arial" w:hAnsi="Arial" w:cs="Arial"/>
          <w:b/>
          <w:bCs/>
          <w:sz w:val="24"/>
          <w:szCs w:val="24"/>
        </w:rPr>
      </w:pPr>
      <w:r>
        <w:rPr>
          <w:rFonts w:ascii="Arial" w:hAnsi="Arial" w:cs="Arial"/>
          <w:b/>
          <w:bCs/>
          <w:sz w:val="24"/>
          <w:szCs w:val="24"/>
        </w:rPr>
        <w:t>GLOSARIO</w:t>
      </w:r>
    </w:p>
    <w:p w14:paraId="626D0B8E" w14:textId="77777777" w:rsidR="00727BA1" w:rsidRDefault="00727BA1" w:rsidP="00727BA1">
      <w:pPr>
        <w:jc w:val="both"/>
        <w:rPr>
          <w:rFonts w:ascii="Arial" w:hAnsi="Arial" w:cs="Arial"/>
          <w:b/>
          <w:bCs/>
          <w:sz w:val="24"/>
          <w:szCs w:val="24"/>
        </w:rPr>
      </w:pPr>
    </w:p>
    <w:p w14:paraId="0C6131D0" w14:textId="77777777" w:rsidR="00727BA1" w:rsidRDefault="00727BA1" w:rsidP="00727BA1">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14:paraId="07C0A945" w14:textId="77777777" w:rsidR="00727BA1" w:rsidRDefault="00727BA1" w:rsidP="00727BA1">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14:paraId="052A7218" w14:textId="77777777" w:rsidR="00727BA1" w:rsidRDefault="00727BA1" w:rsidP="00727BA1">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14:paraId="4867B4C5" w14:textId="77777777" w:rsidR="00727BA1" w:rsidRDefault="00727BA1" w:rsidP="00727BA1">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14:paraId="4D8ED04B" w14:textId="77777777" w:rsidR="00727BA1" w:rsidRDefault="00727BA1" w:rsidP="00727BA1">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14:paraId="7AD9A835" w14:textId="77777777" w:rsidR="00727BA1" w:rsidRDefault="00727BA1" w:rsidP="00727BA1">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14:paraId="0B16E6BA" w14:textId="77777777" w:rsidR="00727BA1" w:rsidRDefault="00727BA1" w:rsidP="00727BA1">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14:paraId="089E2F96" w14:textId="77777777" w:rsidR="00727BA1" w:rsidRDefault="00727BA1" w:rsidP="00727BA1">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14:paraId="379441F1" w14:textId="77777777" w:rsidR="00727BA1" w:rsidRDefault="00727BA1" w:rsidP="00727BA1">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14:paraId="4DB29A15" w14:textId="77777777" w:rsidR="00727BA1" w:rsidRDefault="00727BA1" w:rsidP="00727BA1">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14:paraId="57CE082C" w14:textId="77777777" w:rsidR="00727BA1" w:rsidRDefault="00727BA1" w:rsidP="00727BA1">
      <w:pPr>
        <w:jc w:val="both"/>
        <w:rPr>
          <w:rFonts w:ascii="Arial" w:hAnsi="Arial" w:cs="Arial"/>
          <w:sz w:val="24"/>
          <w:szCs w:val="24"/>
        </w:rPr>
      </w:pPr>
    </w:p>
    <w:p w14:paraId="161C5315" w14:textId="77777777" w:rsidR="00727BA1" w:rsidRDefault="00727BA1" w:rsidP="00727BA1">
      <w:pPr>
        <w:jc w:val="center"/>
        <w:rPr>
          <w:rFonts w:ascii="Arial" w:hAnsi="Arial" w:cs="Arial"/>
          <w:b/>
          <w:bCs/>
          <w:sz w:val="24"/>
          <w:szCs w:val="24"/>
        </w:rPr>
      </w:pPr>
      <w:r>
        <w:rPr>
          <w:rFonts w:ascii="Arial" w:hAnsi="Arial" w:cs="Arial"/>
          <w:b/>
          <w:bCs/>
          <w:sz w:val="24"/>
          <w:szCs w:val="24"/>
        </w:rPr>
        <w:t>ANTECEDENTES</w:t>
      </w:r>
    </w:p>
    <w:p w14:paraId="57AC10F6" w14:textId="77777777" w:rsidR="00727BA1" w:rsidRDefault="00727BA1" w:rsidP="00727BA1">
      <w:pPr>
        <w:jc w:val="both"/>
        <w:rPr>
          <w:rFonts w:ascii="Arial" w:hAnsi="Arial" w:cs="Arial"/>
          <w:b/>
          <w:bCs/>
          <w:sz w:val="24"/>
          <w:szCs w:val="24"/>
        </w:rPr>
      </w:pPr>
    </w:p>
    <w:p w14:paraId="7F13A061" w14:textId="77777777" w:rsidR="00727BA1" w:rsidRDefault="00727BA1" w:rsidP="00727BA1">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2EFCA279" w14:textId="77777777" w:rsidR="00727BA1" w:rsidRDefault="00727BA1" w:rsidP="00727BA1">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CF1D1E7" w14:textId="77777777" w:rsidR="00727BA1" w:rsidRDefault="00727BA1" w:rsidP="00727BA1">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540E4B81" w14:textId="77777777" w:rsidR="00727BA1" w:rsidRDefault="00727BA1" w:rsidP="00727BA1">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7383BB" w14:textId="77777777" w:rsidR="00727BA1" w:rsidRDefault="00727BA1" w:rsidP="00727BA1">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1917E0A" w14:textId="77777777" w:rsidR="00727BA1" w:rsidRDefault="00727BA1" w:rsidP="00727BA1">
      <w:pPr>
        <w:jc w:val="both"/>
        <w:rPr>
          <w:rFonts w:ascii="Arial" w:hAnsi="Arial" w:cs="Arial"/>
          <w:sz w:val="24"/>
          <w:szCs w:val="24"/>
        </w:rPr>
      </w:pPr>
    </w:p>
    <w:p w14:paraId="059D2F10" w14:textId="77777777" w:rsidR="00727BA1" w:rsidRDefault="00727BA1" w:rsidP="00727BA1">
      <w:pPr>
        <w:jc w:val="center"/>
        <w:rPr>
          <w:rFonts w:ascii="Arial" w:hAnsi="Arial" w:cs="Arial"/>
          <w:b/>
          <w:bCs/>
          <w:sz w:val="24"/>
          <w:szCs w:val="24"/>
        </w:rPr>
      </w:pPr>
      <w:r>
        <w:rPr>
          <w:rFonts w:ascii="Arial" w:hAnsi="Arial" w:cs="Arial"/>
          <w:b/>
          <w:bCs/>
          <w:sz w:val="24"/>
          <w:szCs w:val="24"/>
        </w:rPr>
        <w:t>CONSIDERANDO</w:t>
      </w:r>
    </w:p>
    <w:p w14:paraId="7A231BBA" w14:textId="77777777" w:rsidR="00727BA1" w:rsidRDefault="00727BA1" w:rsidP="00727BA1">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2FEBA123" w14:textId="77777777" w:rsidR="00727BA1" w:rsidRDefault="00727BA1" w:rsidP="00727BA1">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7D918B36" w14:textId="77777777" w:rsidR="00727BA1" w:rsidRDefault="00727BA1" w:rsidP="00727BA1">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53968C1B" w14:textId="77777777" w:rsidR="00727BA1" w:rsidRDefault="00727BA1" w:rsidP="00727BA1">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189BA74" w14:textId="77777777" w:rsidR="00727BA1" w:rsidRDefault="00727BA1" w:rsidP="00727BA1">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14:paraId="2BC2DB65" w14:textId="77777777" w:rsidR="00727BA1" w:rsidRDefault="00727BA1" w:rsidP="00727BA1">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6D6770B4" w14:textId="77777777" w:rsidR="00727BA1" w:rsidRDefault="00727BA1" w:rsidP="00727BA1">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345BA061" w14:textId="77777777" w:rsidR="00727BA1" w:rsidRDefault="00727BA1" w:rsidP="00727BA1">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3A246DCC" w14:textId="77777777" w:rsidR="00727BA1" w:rsidRDefault="00727BA1" w:rsidP="00727BA1">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22950CAB" w14:textId="77777777" w:rsidR="00727BA1" w:rsidRDefault="00727BA1" w:rsidP="00727BA1">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4B13C2A1" w14:textId="77777777" w:rsidR="00727BA1" w:rsidRDefault="00727BA1" w:rsidP="00727BA1">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501E7168" w14:textId="77777777" w:rsidR="00727BA1" w:rsidRDefault="00727BA1" w:rsidP="00727BA1">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3AF1713B" w14:textId="77777777" w:rsidR="00727BA1" w:rsidRDefault="00727BA1" w:rsidP="00727BA1">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5B91C517" w14:textId="77777777" w:rsidR="00727BA1" w:rsidRDefault="00727BA1" w:rsidP="00727BA1">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0242E956" w14:textId="77777777" w:rsidR="00727BA1" w:rsidRDefault="00727BA1" w:rsidP="00727BA1">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5BFE43E2" w14:textId="77777777" w:rsidR="00727BA1" w:rsidRDefault="00727BA1" w:rsidP="00727BA1">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47F256C" w14:textId="77777777" w:rsidR="00727BA1" w:rsidRDefault="00727BA1" w:rsidP="00727BA1">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5CCB756D" w14:textId="77777777" w:rsidR="00727BA1" w:rsidRDefault="00727BA1" w:rsidP="00727BA1">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0464C499" w14:textId="77777777" w:rsidR="00727BA1" w:rsidRDefault="00727BA1" w:rsidP="00727BA1">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28D6C793" w14:textId="77777777" w:rsidR="00727BA1" w:rsidRDefault="00727BA1" w:rsidP="00727BA1">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2B30966" w14:textId="77777777" w:rsidR="00727BA1" w:rsidRDefault="00727BA1" w:rsidP="00727BA1">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14:paraId="397C7455" w14:textId="77777777" w:rsidR="00727BA1" w:rsidRDefault="00727BA1" w:rsidP="00727BA1">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7687B864" w14:textId="3AF2A474" w:rsidR="00727BA1" w:rsidRDefault="00727BA1" w:rsidP="00727BA1">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w:t>
      </w:r>
      <w:r w:rsidR="003812B4">
        <w:rPr>
          <w:rFonts w:ascii="Arial" w:hAnsi="Arial" w:cs="Arial"/>
          <w:sz w:val="24"/>
          <w:szCs w:val="24"/>
        </w:rPr>
        <w:t>el IEPAC, por lo cual, en fecha 22</w:t>
      </w:r>
      <w:r>
        <w:rPr>
          <w:rFonts w:ascii="Arial" w:hAnsi="Arial" w:cs="Arial"/>
          <w:sz w:val="24"/>
          <w:szCs w:val="24"/>
        </w:rPr>
        <w:t xml:space="preserve"> de enero de </w:t>
      </w:r>
      <w:proofErr w:type="gramStart"/>
      <w:r>
        <w:rPr>
          <w:rFonts w:ascii="Arial" w:hAnsi="Arial" w:cs="Arial"/>
          <w:sz w:val="24"/>
          <w:szCs w:val="24"/>
        </w:rPr>
        <w:t>dos mil ve</w:t>
      </w:r>
      <w:r w:rsidR="003812B4">
        <w:rPr>
          <w:rFonts w:ascii="Arial" w:hAnsi="Arial" w:cs="Arial"/>
          <w:sz w:val="24"/>
          <w:szCs w:val="24"/>
        </w:rPr>
        <w:t>intiuno</w:t>
      </w:r>
      <w:proofErr w:type="gramEnd"/>
      <w:r w:rsidR="003812B4">
        <w:rPr>
          <w:rFonts w:ascii="Arial" w:hAnsi="Arial" w:cs="Arial"/>
          <w:sz w:val="24"/>
          <w:szCs w:val="24"/>
        </w:rPr>
        <w:t xml:space="preserve"> el Consejo Municipal de Dzilam de Bravo</w:t>
      </w:r>
      <w:r>
        <w:rPr>
          <w:rFonts w:ascii="Arial" w:hAnsi="Arial" w:cs="Arial"/>
          <w:sz w:val="24"/>
          <w:szCs w:val="24"/>
        </w:rPr>
        <w:t>, Yucatán, realizó la sesión de instalación del citado Consejo, dando inicio a sus funciones y actividades regulares.</w:t>
      </w:r>
    </w:p>
    <w:p w14:paraId="4FB9DA86" w14:textId="77777777" w:rsidR="00727BA1" w:rsidRDefault="00727BA1" w:rsidP="00727BA1">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28012CCF" w14:textId="77777777" w:rsidR="00727BA1" w:rsidRDefault="00727BA1" w:rsidP="00727BA1">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5020CAC7" w14:textId="77777777" w:rsidR="00727BA1" w:rsidRDefault="00727BA1" w:rsidP="00727BA1">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14:paraId="15101C5F" w14:textId="77777777" w:rsidR="00727BA1" w:rsidRDefault="00727BA1" w:rsidP="00727BA1">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14:paraId="261D2774" w14:textId="77777777" w:rsidR="00727BA1" w:rsidRDefault="00727BA1" w:rsidP="00727BA1">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14:paraId="477F56CC" w14:textId="77777777" w:rsidR="00727BA1" w:rsidRDefault="00727BA1" w:rsidP="00727BA1">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14:paraId="7B3198C9" w14:textId="77777777" w:rsidR="00727BA1" w:rsidRDefault="00727BA1" w:rsidP="00727BA1">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14:paraId="38BF5E91" w14:textId="77777777" w:rsidR="00727BA1" w:rsidRDefault="00727BA1" w:rsidP="00727BA1">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14:paraId="209BAAC8" w14:textId="77777777" w:rsidR="00727BA1" w:rsidRDefault="00727BA1" w:rsidP="00727BA1">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0EF386C9" w14:textId="77777777" w:rsidR="00727BA1" w:rsidRDefault="00727BA1" w:rsidP="00727BA1">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Ind w:w="0" w:type="dxa"/>
        <w:tblLook w:val="04A0" w:firstRow="1" w:lastRow="0" w:firstColumn="1" w:lastColumn="0" w:noHBand="0" w:noVBand="1"/>
      </w:tblPr>
      <w:tblGrid>
        <w:gridCol w:w="2942"/>
        <w:gridCol w:w="2943"/>
        <w:gridCol w:w="2943"/>
      </w:tblGrid>
      <w:tr w:rsidR="00727BA1" w14:paraId="5055AEDB" w14:textId="77777777" w:rsidTr="00727BA1">
        <w:tc>
          <w:tcPr>
            <w:tcW w:w="2942" w:type="dxa"/>
            <w:tcBorders>
              <w:top w:val="single" w:sz="4" w:space="0" w:color="auto"/>
              <w:left w:val="single" w:sz="4" w:space="0" w:color="auto"/>
              <w:bottom w:val="single" w:sz="4" w:space="0" w:color="auto"/>
              <w:right w:val="single" w:sz="4" w:space="0" w:color="auto"/>
            </w:tcBorders>
            <w:hideMark/>
          </w:tcPr>
          <w:p w14:paraId="2F86957A" w14:textId="77777777" w:rsidR="00727BA1" w:rsidRDefault="00727BA1">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14:paraId="59213599" w14:textId="77777777" w:rsidR="00727BA1" w:rsidRDefault="00727BA1">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14:paraId="6A1204F9" w14:textId="77777777" w:rsidR="00727BA1" w:rsidRDefault="00727BA1">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727BA1" w14:paraId="7145224B" w14:textId="77777777" w:rsidTr="00727BA1">
        <w:tc>
          <w:tcPr>
            <w:tcW w:w="2942" w:type="dxa"/>
            <w:tcBorders>
              <w:top w:val="single" w:sz="4" w:space="0" w:color="auto"/>
              <w:left w:val="single" w:sz="4" w:space="0" w:color="auto"/>
              <w:bottom w:val="single" w:sz="4" w:space="0" w:color="auto"/>
              <w:right w:val="single" w:sz="4" w:space="0" w:color="auto"/>
            </w:tcBorders>
            <w:hideMark/>
          </w:tcPr>
          <w:p w14:paraId="0221DEB4" w14:textId="77777777" w:rsidR="00727BA1" w:rsidRDefault="00727BA1">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14:paraId="68695C61" w14:textId="77777777" w:rsidR="00727BA1" w:rsidRDefault="00727BA1">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2D09EFE6" w14:textId="77777777" w:rsidR="00727BA1" w:rsidRDefault="00727BA1">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727BA1" w14:paraId="4580ED9B" w14:textId="77777777" w:rsidTr="00727BA1">
        <w:tc>
          <w:tcPr>
            <w:tcW w:w="2942" w:type="dxa"/>
            <w:tcBorders>
              <w:top w:val="single" w:sz="4" w:space="0" w:color="auto"/>
              <w:left w:val="single" w:sz="4" w:space="0" w:color="auto"/>
              <w:bottom w:val="single" w:sz="4" w:space="0" w:color="auto"/>
              <w:right w:val="single" w:sz="4" w:space="0" w:color="auto"/>
            </w:tcBorders>
            <w:hideMark/>
          </w:tcPr>
          <w:p w14:paraId="04418BFD" w14:textId="77777777" w:rsidR="00727BA1" w:rsidRDefault="00727BA1">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14:paraId="61A41C62" w14:textId="77777777" w:rsidR="00727BA1" w:rsidRDefault="00727BA1">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6FE1D3A2" w14:textId="77777777" w:rsidR="00727BA1" w:rsidRDefault="00727BA1">
            <w:pPr>
              <w:spacing w:line="240" w:lineRule="auto"/>
              <w:jc w:val="both"/>
              <w:rPr>
                <w:rFonts w:ascii="Arial" w:hAnsi="Arial" w:cs="Arial"/>
                <w:sz w:val="24"/>
                <w:szCs w:val="24"/>
              </w:rPr>
            </w:pPr>
            <w:r>
              <w:rPr>
                <w:rFonts w:ascii="Arial" w:hAnsi="Arial" w:cs="Arial"/>
                <w:sz w:val="24"/>
                <w:szCs w:val="24"/>
              </w:rPr>
              <w:t>09 de abril de 2021 a 02 de junio de 2021</w:t>
            </w:r>
          </w:p>
        </w:tc>
      </w:tr>
    </w:tbl>
    <w:p w14:paraId="7E28219B" w14:textId="77777777" w:rsidR="00727BA1" w:rsidRDefault="00727BA1" w:rsidP="00727BA1">
      <w:pPr>
        <w:jc w:val="both"/>
        <w:rPr>
          <w:rFonts w:ascii="Arial" w:hAnsi="Arial" w:cs="Arial"/>
          <w:sz w:val="24"/>
          <w:szCs w:val="24"/>
        </w:rPr>
      </w:pPr>
    </w:p>
    <w:p w14:paraId="649E3064" w14:textId="77777777" w:rsidR="00727BA1" w:rsidRDefault="00727BA1" w:rsidP="00727BA1">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23B35A8D" w14:textId="77777777" w:rsidR="00727BA1" w:rsidRDefault="00727BA1" w:rsidP="00727BA1">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32A58E1E" w14:textId="77777777" w:rsidR="00727BA1" w:rsidRDefault="00727BA1" w:rsidP="00727BA1">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14:paraId="1449E5E6" w14:textId="77777777" w:rsidR="00727BA1" w:rsidRDefault="00727BA1" w:rsidP="00727BA1">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72056997" w14:textId="77777777" w:rsidR="00727BA1" w:rsidRDefault="00727BA1" w:rsidP="00727BA1">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14:paraId="54B0B92B" w14:textId="77777777" w:rsidR="00727BA1" w:rsidRDefault="00727BA1" w:rsidP="00727BA1">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14:paraId="1ABC9571" w14:textId="6778C6B0" w:rsidR="00727BA1" w:rsidRDefault="00727BA1" w:rsidP="00727BA1">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 veintinuev</w:t>
      </w:r>
      <w:r w:rsidR="003812B4">
        <w:rPr>
          <w:rFonts w:ascii="Arial" w:hAnsi="Arial" w:cs="Arial"/>
          <w:sz w:val="24"/>
          <w:szCs w:val="24"/>
        </w:rPr>
        <w:t xml:space="preserve">e de marzo de </w:t>
      </w:r>
      <w:proofErr w:type="gramStart"/>
      <w:r w:rsidR="003812B4">
        <w:rPr>
          <w:rFonts w:ascii="Arial" w:hAnsi="Arial" w:cs="Arial"/>
          <w:sz w:val="24"/>
          <w:szCs w:val="24"/>
        </w:rPr>
        <w:t>dos mil veintiuno</w:t>
      </w:r>
      <w:proofErr w:type="gramEnd"/>
      <w:r w:rsidR="003812B4">
        <w:rPr>
          <w:rFonts w:ascii="Arial" w:hAnsi="Arial" w:cs="Arial"/>
          <w:sz w:val="24"/>
          <w:szCs w:val="24"/>
        </w:rPr>
        <w:t>,</w:t>
      </w:r>
      <w:r w:rsidR="003812B4" w:rsidRPr="003812B4">
        <w:rPr>
          <w:rFonts w:ascii="Arial" w:hAnsi="Arial" w:cs="Arial"/>
          <w:sz w:val="24"/>
          <w:szCs w:val="24"/>
        </w:rPr>
        <w:t xml:space="preserve"> </w:t>
      </w:r>
      <w:r w:rsidR="003812B4">
        <w:rPr>
          <w:rFonts w:ascii="Arial" w:hAnsi="Arial" w:cs="Arial"/>
          <w:sz w:val="24"/>
          <w:szCs w:val="24"/>
        </w:rPr>
        <w:t xml:space="preserve">y de conformidad al contenido del acuerdo C.G-043/2021 emitido por el Consejo General del IEPAC. </w:t>
      </w:r>
      <w:r>
        <w:rPr>
          <w:rFonts w:ascii="Arial" w:hAnsi="Arial" w:cs="Arial"/>
          <w:sz w:val="24"/>
          <w:szCs w:val="24"/>
        </w:rPr>
        <w:t xml:space="preserve"> </w:t>
      </w:r>
    </w:p>
    <w:p w14:paraId="4FBDDC54" w14:textId="77777777" w:rsidR="00727BA1" w:rsidRDefault="00727BA1" w:rsidP="00727BA1">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41BA58E8" w14:textId="718FA07D" w:rsidR="00727BA1" w:rsidRDefault="00727BA1" w:rsidP="00727BA1">
      <w:pPr>
        <w:jc w:val="both"/>
        <w:rPr>
          <w:rFonts w:ascii="Arial" w:hAnsi="Arial" w:cs="Arial"/>
          <w:sz w:val="24"/>
          <w:szCs w:val="24"/>
        </w:rPr>
      </w:pPr>
      <w:r>
        <w:rPr>
          <w:rFonts w:ascii="Arial" w:hAnsi="Arial" w:cs="Arial"/>
          <w:b/>
          <w:bCs/>
          <w:sz w:val="24"/>
          <w:szCs w:val="24"/>
        </w:rPr>
        <w:t>32.-</w:t>
      </w:r>
      <w:r w:rsidR="003812B4">
        <w:rPr>
          <w:rFonts w:ascii="Arial" w:hAnsi="Arial" w:cs="Arial"/>
          <w:sz w:val="24"/>
          <w:szCs w:val="24"/>
        </w:rPr>
        <w:t xml:space="preserve"> Que con fecha 01</w:t>
      </w:r>
      <w:r>
        <w:rPr>
          <w:rFonts w:ascii="Arial" w:hAnsi="Arial" w:cs="Arial"/>
          <w:sz w:val="24"/>
          <w:szCs w:val="24"/>
        </w:rPr>
        <w:t xml:space="preserve"> de marzo de dos mil veintiuno, se recibió ante este Consejo Municipal, la</w:t>
      </w:r>
      <w:r w:rsidR="003812B4">
        <w:rPr>
          <w:rFonts w:ascii="Arial" w:hAnsi="Arial" w:cs="Arial"/>
          <w:sz w:val="24"/>
          <w:szCs w:val="24"/>
        </w:rPr>
        <w:t xml:space="preserve"> solicitud del Partido Político MORENA</w:t>
      </w:r>
      <w:r>
        <w:rPr>
          <w:rFonts w:ascii="Arial" w:hAnsi="Arial" w:cs="Arial"/>
          <w:sz w:val="24"/>
          <w:szCs w:val="24"/>
        </w:rPr>
        <w:t>, por medio de la cual se solicita el registro de la planilla de candidatas y candidatos a Regidurías por el Principio de Mayoría Relativa y de Representación Proporcional, propietarios(as) y suplentes, para integrar el H</w:t>
      </w:r>
      <w:r w:rsidR="003812B4">
        <w:rPr>
          <w:rFonts w:ascii="Arial" w:hAnsi="Arial" w:cs="Arial"/>
          <w:sz w:val="24"/>
          <w:szCs w:val="24"/>
        </w:rPr>
        <w:t>. Ayuntamiento del municipio de Dzilam de Bravo</w:t>
      </w:r>
      <w:r>
        <w:rPr>
          <w:rFonts w:ascii="Arial" w:hAnsi="Arial" w:cs="Arial"/>
          <w:sz w:val="24"/>
          <w:szCs w:val="24"/>
        </w:rPr>
        <w:t>, Yucatán, en las elecciones a realizarse el 6 de junio de dos mil veintiuno, integrada por la siguiente ciudadanía, en el orden que a continuación se enlistan:</w:t>
      </w:r>
    </w:p>
    <w:p w14:paraId="24F1A6AE" w14:textId="77777777" w:rsidR="00727BA1" w:rsidRDefault="00727BA1" w:rsidP="00727BA1">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014"/>
        <w:gridCol w:w="3998"/>
      </w:tblGrid>
      <w:tr w:rsidR="00727BA1" w14:paraId="7130438E" w14:textId="77777777" w:rsidTr="00727BA1">
        <w:tc>
          <w:tcPr>
            <w:tcW w:w="790" w:type="dxa"/>
            <w:tcBorders>
              <w:top w:val="single" w:sz="4" w:space="0" w:color="auto"/>
              <w:left w:val="single" w:sz="4" w:space="0" w:color="auto"/>
              <w:bottom w:val="single" w:sz="4" w:space="0" w:color="auto"/>
              <w:right w:val="single" w:sz="4" w:space="0" w:color="auto"/>
            </w:tcBorders>
            <w:hideMark/>
          </w:tcPr>
          <w:p w14:paraId="6594385A" w14:textId="77777777" w:rsidR="00727BA1" w:rsidRDefault="00727BA1">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0242B80E" w14:textId="77777777" w:rsidR="00727BA1" w:rsidRDefault="00727BA1">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549B9F04" w14:textId="77777777" w:rsidR="00727BA1" w:rsidRDefault="00727BA1">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727BA1" w14:paraId="4BAEB945" w14:textId="77777777" w:rsidTr="00727BA1">
        <w:tc>
          <w:tcPr>
            <w:tcW w:w="790" w:type="dxa"/>
            <w:tcBorders>
              <w:top w:val="single" w:sz="4" w:space="0" w:color="auto"/>
              <w:left w:val="single" w:sz="4" w:space="0" w:color="auto"/>
              <w:bottom w:val="single" w:sz="4" w:space="0" w:color="auto"/>
              <w:right w:val="single" w:sz="4" w:space="0" w:color="auto"/>
            </w:tcBorders>
            <w:hideMark/>
          </w:tcPr>
          <w:p w14:paraId="639C8D07" w14:textId="77777777" w:rsidR="00727BA1" w:rsidRDefault="00727BA1">
            <w:pPr>
              <w:spacing w:line="240" w:lineRule="auto"/>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tcPr>
          <w:p w14:paraId="07DB3BDC" w14:textId="277744FC" w:rsidR="00727BA1" w:rsidRDefault="003812B4">
            <w:pPr>
              <w:spacing w:line="240" w:lineRule="auto"/>
              <w:jc w:val="both"/>
              <w:rPr>
                <w:rFonts w:ascii="Arial" w:hAnsi="Arial" w:cs="Arial"/>
                <w:sz w:val="24"/>
                <w:szCs w:val="24"/>
              </w:rPr>
            </w:pPr>
            <w:r>
              <w:rPr>
                <w:rFonts w:ascii="Arial" w:hAnsi="Arial" w:cs="Arial"/>
                <w:sz w:val="24"/>
                <w:szCs w:val="24"/>
              </w:rPr>
              <w:t>JUBENTINO SANCHEZ LUGO</w:t>
            </w:r>
          </w:p>
        </w:tc>
        <w:tc>
          <w:tcPr>
            <w:tcW w:w="4013" w:type="dxa"/>
            <w:tcBorders>
              <w:top w:val="single" w:sz="4" w:space="0" w:color="auto"/>
              <w:left w:val="single" w:sz="4" w:space="0" w:color="auto"/>
              <w:bottom w:val="single" w:sz="4" w:space="0" w:color="auto"/>
              <w:right w:val="single" w:sz="4" w:space="0" w:color="auto"/>
            </w:tcBorders>
          </w:tcPr>
          <w:p w14:paraId="00941322" w14:textId="1740A81F" w:rsidR="00727BA1" w:rsidRDefault="003812B4">
            <w:pPr>
              <w:spacing w:line="240" w:lineRule="auto"/>
              <w:jc w:val="both"/>
              <w:rPr>
                <w:rFonts w:ascii="Arial" w:hAnsi="Arial" w:cs="Arial"/>
                <w:sz w:val="24"/>
                <w:szCs w:val="24"/>
              </w:rPr>
            </w:pPr>
            <w:r>
              <w:rPr>
                <w:rFonts w:ascii="Arial" w:hAnsi="Arial" w:cs="Arial"/>
                <w:sz w:val="24"/>
                <w:szCs w:val="24"/>
              </w:rPr>
              <w:t>GRETY ELENA AGUIRRE TREJO</w:t>
            </w:r>
          </w:p>
        </w:tc>
      </w:tr>
      <w:tr w:rsidR="00727BA1" w14:paraId="7A853CC7" w14:textId="77777777" w:rsidTr="00727BA1">
        <w:tc>
          <w:tcPr>
            <w:tcW w:w="790" w:type="dxa"/>
            <w:tcBorders>
              <w:top w:val="single" w:sz="4" w:space="0" w:color="auto"/>
              <w:left w:val="single" w:sz="4" w:space="0" w:color="auto"/>
              <w:bottom w:val="single" w:sz="4" w:space="0" w:color="auto"/>
              <w:right w:val="single" w:sz="4" w:space="0" w:color="auto"/>
            </w:tcBorders>
            <w:hideMark/>
          </w:tcPr>
          <w:p w14:paraId="09067592" w14:textId="77777777" w:rsidR="00727BA1" w:rsidRDefault="00727BA1">
            <w:pPr>
              <w:spacing w:line="240" w:lineRule="auto"/>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tcPr>
          <w:p w14:paraId="57D91763" w14:textId="2D334A88" w:rsidR="00727BA1" w:rsidRDefault="003812B4">
            <w:pPr>
              <w:spacing w:line="240" w:lineRule="auto"/>
              <w:jc w:val="both"/>
              <w:rPr>
                <w:rFonts w:ascii="Arial" w:hAnsi="Arial" w:cs="Arial"/>
                <w:sz w:val="24"/>
                <w:szCs w:val="24"/>
              </w:rPr>
            </w:pPr>
            <w:r>
              <w:rPr>
                <w:rFonts w:ascii="Arial" w:hAnsi="Arial" w:cs="Arial"/>
                <w:sz w:val="24"/>
                <w:szCs w:val="24"/>
              </w:rPr>
              <w:t>DANISA DANILU AGUILAR LOPEZ</w:t>
            </w:r>
          </w:p>
        </w:tc>
        <w:tc>
          <w:tcPr>
            <w:tcW w:w="4013" w:type="dxa"/>
            <w:tcBorders>
              <w:top w:val="single" w:sz="4" w:space="0" w:color="auto"/>
              <w:left w:val="single" w:sz="4" w:space="0" w:color="auto"/>
              <w:bottom w:val="single" w:sz="4" w:space="0" w:color="auto"/>
              <w:right w:val="single" w:sz="4" w:space="0" w:color="auto"/>
            </w:tcBorders>
          </w:tcPr>
          <w:p w14:paraId="3E631764" w14:textId="3DC5A8E7" w:rsidR="00727BA1" w:rsidRDefault="003812B4">
            <w:pPr>
              <w:spacing w:line="240" w:lineRule="auto"/>
              <w:jc w:val="both"/>
              <w:rPr>
                <w:rFonts w:ascii="Arial" w:hAnsi="Arial" w:cs="Arial"/>
                <w:sz w:val="24"/>
                <w:szCs w:val="24"/>
              </w:rPr>
            </w:pPr>
            <w:r>
              <w:rPr>
                <w:rFonts w:ascii="Arial" w:hAnsi="Arial" w:cs="Arial"/>
                <w:sz w:val="24"/>
                <w:szCs w:val="24"/>
              </w:rPr>
              <w:t>MARTIN MARRUFO CORAL</w:t>
            </w:r>
          </w:p>
        </w:tc>
      </w:tr>
      <w:tr w:rsidR="00727BA1" w14:paraId="72628FE3" w14:textId="77777777" w:rsidTr="00727BA1">
        <w:tc>
          <w:tcPr>
            <w:tcW w:w="790" w:type="dxa"/>
            <w:tcBorders>
              <w:top w:val="single" w:sz="4" w:space="0" w:color="auto"/>
              <w:left w:val="single" w:sz="4" w:space="0" w:color="auto"/>
              <w:bottom w:val="single" w:sz="4" w:space="0" w:color="auto"/>
              <w:right w:val="single" w:sz="4" w:space="0" w:color="auto"/>
            </w:tcBorders>
            <w:hideMark/>
          </w:tcPr>
          <w:p w14:paraId="64799C3F" w14:textId="77777777" w:rsidR="00727BA1" w:rsidRDefault="00727BA1">
            <w:pPr>
              <w:spacing w:line="240" w:lineRule="auto"/>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tcPr>
          <w:p w14:paraId="286C03C4" w14:textId="4B76EC9A" w:rsidR="00727BA1" w:rsidRDefault="003812B4">
            <w:pPr>
              <w:spacing w:line="240" w:lineRule="auto"/>
              <w:jc w:val="both"/>
              <w:rPr>
                <w:rFonts w:ascii="Arial" w:hAnsi="Arial" w:cs="Arial"/>
                <w:sz w:val="24"/>
                <w:szCs w:val="24"/>
              </w:rPr>
            </w:pPr>
            <w:r>
              <w:rPr>
                <w:rFonts w:ascii="Arial" w:hAnsi="Arial" w:cs="Arial"/>
                <w:sz w:val="24"/>
                <w:szCs w:val="24"/>
              </w:rPr>
              <w:t>HECTOR ARMANDO DOMINGUEZ CARRILLO</w:t>
            </w:r>
          </w:p>
        </w:tc>
        <w:tc>
          <w:tcPr>
            <w:tcW w:w="4013" w:type="dxa"/>
            <w:tcBorders>
              <w:top w:val="single" w:sz="4" w:space="0" w:color="auto"/>
              <w:left w:val="single" w:sz="4" w:space="0" w:color="auto"/>
              <w:bottom w:val="single" w:sz="4" w:space="0" w:color="auto"/>
              <w:right w:val="single" w:sz="4" w:space="0" w:color="auto"/>
            </w:tcBorders>
          </w:tcPr>
          <w:p w14:paraId="52D938BD" w14:textId="321B29D1" w:rsidR="00727BA1" w:rsidRDefault="003812B4">
            <w:pPr>
              <w:spacing w:line="240" w:lineRule="auto"/>
              <w:jc w:val="both"/>
              <w:rPr>
                <w:rFonts w:ascii="Arial" w:hAnsi="Arial" w:cs="Arial"/>
                <w:sz w:val="24"/>
                <w:szCs w:val="24"/>
              </w:rPr>
            </w:pPr>
            <w:r>
              <w:rPr>
                <w:rFonts w:ascii="Arial" w:hAnsi="Arial" w:cs="Arial"/>
                <w:sz w:val="24"/>
                <w:szCs w:val="24"/>
              </w:rPr>
              <w:t>MARIA DEL ROSARIO PASTRANA PUC</w:t>
            </w:r>
          </w:p>
        </w:tc>
      </w:tr>
    </w:tbl>
    <w:p w14:paraId="4A36E084" w14:textId="77777777" w:rsidR="00727BA1" w:rsidRDefault="00727BA1" w:rsidP="00727BA1">
      <w:pPr>
        <w:jc w:val="both"/>
        <w:rPr>
          <w:rFonts w:ascii="Arial" w:hAnsi="Arial" w:cs="Arial"/>
          <w:sz w:val="24"/>
          <w:szCs w:val="24"/>
        </w:rPr>
      </w:pPr>
    </w:p>
    <w:p w14:paraId="364FF4E8" w14:textId="77777777" w:rsidR="00727BA1" w:rsidRDefault="00727BA1" w:rsidP="00727BA1">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014"/>
        <w:gridCol w:w="3998"/>
      </w:tblGrid>
      <w:tr w:rsidR="00727BA1" w14:paraId="5B2DBEF6" w14:textId="77777777" w:rsidTr="00727BA1">
        <w:tc>
          <w:tcPr>
            <w:tcW w:w="790" w:type="dxa"/>
            <w:tcBorders>
              <w:top w:val="single" w:sz="4" w:space="0" w:color="auto"/>
              <w:left w:val="single" w:sz="4" w:space="0" w:color="auto"/>
              <w:bottom w:val="single" w:sz="4" w:space="0" w:color="auto"/>
              <w:right w:val="single" w:sz="4" w:space="0" w:color="auto"/>
            </w:tcBorders>
            <w:hideMark/>
          </w:tcPr>
          <w:p w14:paraId="347330AA" w14:textId="77777777" w:rsidR="00727BA1" w:rsidRDefault="00727BA1">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421EAF11" w14:textId="77777777" w:rsidR="00727BA1" w:rsidRDefault="00727BA1">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2E2EF9B1" w14:textId="77777777" w:rsidR="00727BA1" w:rsidRDefault="00727BA1">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727BA1" w14:paraId="6E07C7DD" w14:textId="77777777" w:rsidTr="00727BA1">
        <w:tc>
          <w:tcPr>
            <w:tcW w:w="790" w:type="dxa"/>
            <w:tcBorders>
              <w:top w:val="single" w:sz="4" w:space="0" w:color="auto"/>
              <w:left w:val="single" w:sz="4" w:space="0" w:color="auto"/>
              <w:bottom w:val="single" w:sz="4" w:space="0" w:color="auto"/>
              <w:right w:val="single" w:sz="4" w:space="0" w:color="auto"/>
            </w:tcBorders>
            <w:hideMark/>
          </w:tcPr>
          <w:p w14:paraId="0503BE09" w14:textId="77777777" w:rsidR="00727BA1" w:rsidRDefault="00727BA1">
            <w:pPr>
              <w:spacing w:line="240" w:lineRule="auto"/>
              <w:jc w:val="both"/>
              <w:rPr>
                <w:rFonts w:ascii="Arial" w:hAnsi="Arial" w:cs="Arial"/>
                <w:b/>
                <w:bCs/>
                <w:sz w:val="24"/>
                <w:szCs w:val="24"/>
              </w:rPr>
            </w:pPr>
            <w:r>
              <w:rPr>
                <w:rFonts w:ascii="Arial" w:hAnsi="Arial" w:cs="Arial"/>
                <w:b/>
                <w:bCs/>
                <w:sz w:val="24"/>
                <w:szCs w:val="24"/>
              </w:rPr>
              <w:lastRenderedPageBreak/>
              <w:t>4</w:t>
            </w:r>
          </w:p>
        </w:tc>
        <w:tc>
          <w:tcPr>
            <w:tcW w:w="4025" w:type="dxa"/>
            <w:tcBorders>
              <w:top w:val="single" w:sz="4" w:space="0" w:color="auto"/>
              <w:left w:val="single" w:sz="4" w:space="0" w:color="auto"/>
              <w:bottom w:val="single" w:sz="4" w:space="0" w:color="auto"/>
              <w:right w:val="single" w:sz="4" w:space="0" w:color="auto"/>
            </w:tcBorders>
          </w:tcPr>
          <w:p w14:paraId="7B9E0A80" w14:textId="23560595" w:rsidR="00727BA1" w:rsidRDefault="009C7C82">
            <w:pPr>
              <w:spacing w:line="240" w:lineRule="auto"/>
              <w:jc w:val="both"/>
              <w:rPr>
                <w:rFonts w:ascii="Arial" w:hAnsi="Arial" w:cs="Arial"/>
                <w:sz w:val="24"/>
                <w:szCs w:val="24"/>
              </w:rPr>
            </w:pPr>
            <w:r>
              <w:rPr>
                <w:rFonts w:ascii="Arial" w:hAnsi="Arial" w:cs="Arial"/>
                <w:sz w:val="24"/>
                <w:szCs w:val="24"/>
              </w:rPr>
              <w:t>MARIA REYES GREGORIA RAMIREZ ORTIZ</w:t>
            </w:r>
          </w:p>
        </w:tc>
        <w:tc>
          <w:tcPr>
            <w:tcW w:w="4013" w:type="dxa"/>
            <w:tcBorders>
              <w:top w:val="single" w:sz="4" w:space="0" w:color="auto"/>
              <w:left w:val="single" w:sz="4" w:space="0" w:color="auto"/>
              <w:bottom w:val="single" w:sz="4" w:space="0" w:color="auto"/>
              <w:right w:val="single" w:sz="4" w:space="0" w:color="auto"/>
            </w:tcBorders>
          </w:tcPr>
          <w:p w14:paraId="7905C948" w14:textId="5B9A8D41" w:rsidR="00727BA1" w:rsidRDefault="009C7C82">
            <w:pPr>
              <w:spacing w:line="240" w:lineRule="auto"/>
              <w:jc w:val="both"/>
              <w:rPr>
                <w:rFonts w:ascii="Arial" w:hAnsi="Arial" w:cs="Arial"/>
                <w:sz w:val="24"/>
                <w:szCs w:val="24"/>
              </w:rPr>
            </w:pPr>
            <w:r>
              <w:rPr>
                <w:rFonts w:ascii="Arial" w:hAnsi="Arial" w:cs="Arial"/>
                <w:sz w:val="24"/>
                <w:szCs w:val="24"/>
              </w:rPr>
              <w:t>CLARITA ROSINORI PERAZA CRUZ</w:t>
            </w:r>
          </w:p>
        </w:tc>
      </w:tr>
      <w:tr w:rsidR="00727BA1" w14:paraId="2D613627" w14:textId="77777777" w:rsidTr="00727BA1">
        <w:tc>
          <w:tcPr>
            <w:tcW w:w="790" w:type="dxa"/>
            <w:tcBorders>
              <w:top w:val="single" w:sz="4" w:space="0" w:color="auto"/>
              <w:left w:val="single" w:sz="4" w:space="0" w:color="auto"/>
              <w:bottom w:val="single" w:sz="4" w:space="0" w:color="auto"/>
              <w:right w:val="single" w:sz="4" w:space="0" w:color="auto"/>
            </w:tcBorders>
            <w:hideMark/>
          </w:tcPr>
          <w:p w14:paraId="3B8B5B1A" w14:textId="77777777" w:rsidR="00727BA1" w:rsidRDefault="00727BA1">
            <w:pPr>
              <w:spacing w:line="240" w:lineRule="auto"/>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tcPr>
          <w:p w14:paraId="6C32CAFC" w14:textId="625C2045" w:rsidR="00727BA1" w:rsidRDefault="009C7C82">
            <w:pPr>
              <w:spacing w:line="240" w:lineRule="auto"/>
              <w:jc w:val="both"/>
              <w:rPr>
                <w:rFonts w:ascii="Arial" w:hAnsi="Arial" w:cs="Arial"/>
                <w:sz w:val="24"/>
                <w:szCs w:val="24"/>
              </w:rPr>
            </w:pPr>
            <w:r>
              <w:rPr>
                <w:rFonts w:ascii="Arial" w:hAnsi="Arial" w:cs="Arial"/>
                <w:sz w:val="24"/>
                <w:szCs w:val="24"/>
              </w:rPr>
              <w:t>REYNALDO ESTEBAN GONZALEZ POOT</w:t>
            </w:r>
          </w:p>
        </w:tc>
        <w:tc>
          <w:tcPr>
            <w:tcW w:w="4013" w:type="dxa"/>
            <w:tcBorders>
              <w:top w:val="single" w:sz="4" w:space="0" w:color="auto"/>
              <w:left w:val="single" w:sz="4" w:space="0" w:color="auto"/>
              <w:bottom w:val="single" w:sz="4" w:space="0" w:color="auto"/>
              <w:right w:val="single" w:sz="4" w:space="0" w:color="auto"/>
            </w:tcBorders>
          </w:tcPr>
          <w:p w14:paraId="73A21DE1" w14:textId="46E36DE8" w:rsidR="00727BA1" w:rsidRDefault="009C7C82">
            <w:pPr>
              <w:spacing w:line="240" w:lineRule="auto"/>
              <w:jc w:val="both"/>
              <w:rPr>
                <w:rFonts w:ascii="Arial" w:hAnsi="Arial" w:cs="Arial"/>
                <w:sz w:val="24"/>
                <w:szCs w:val="24"/>
              </w:rPr>
            </w:pPr>
            <w:r>
              <w:rPr>
                <w:rFonts w:ascii="Arial" w:hAnsi="Arial" w:cs="Arial"/>
                <w:sz w:val="24"/>
                <w:szCs w:val="24"/>
              </w:rPr>
              <w:t>RAUL CORTEZ Y RUIZ</w:t>
            </w:r>
          </w:p>
        </w:tc>
      </w:tr>
    </w:tbl>
    <w:p w14:paraId="056741ED" w14:textId="77777777" w:rsidR="00727BA1" w:rsidRDefault="00727BA1" w:rsidP="00727BA1">
      <w:pPr>
        <w:jc w:val="both"/>
        <w:rPr>
          <w:rFonts w:ascii="Arial" w:hAnsi="Arial" w:cs="Arial"/>
          <w:sz w:val="24"/>
          <w:szCs w:val="24"/>
        </w:rPr>
      </w:pPr>
    </w:p>
    <w:p w14:paraId="6558C6B6" w14:textId="77777777" w:rsidR="00727BA1" w:rsidRDefault="00727BA1" w:rsidP="00727BA1">
      <w:pPr>
        <w:jc w:val="both"/>
        <w:rPr>
          <w:rFonts w:ascii="Arial" w:hAnsi="Arial" w:cs="Arial"/>
          <w:sz w:val="24"/>
          <w:szCs w:val="24"/>
        </w:rPr>
      </w:pPr>
      <w:r>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19CC1501" w14:textId="2726D318" w:rsidR="00727BA1" w:rsidRDefault="00727BA1" w:rsidP="00727BA1">
      <w:pPr>
        <w:jc w:val="both"/>
        <w:rPr>
          <w:rFonts w:ascii="Arial" w:hAnsi="Arial" w:cs="Arial"/>
          <w:sz w:val="24"/>
          <w:szCs w:val="24"/>
        </w:rPr>
      </w:pPr>
      <w:r w:rsidRPr="002179A5">
        <w:rPr>
          <w:rFonts w:ascii="Arial" w:hAnsi="Arial" w:cs="Arial"/>
          <w:sz w:val="24"/>
          <w:szCs w:val="24"/>
        </w:rPr>
        <w:t xml:space="preserve">34.- Siendo </w:t>
      </w:r>
      <w:proofErr w:type="gramStart"/>
      <w:r w:rsidRPr="002179A5">
        <w:rPr>
          <w:rFonts w:ascii="Arial" w:hAnsi="Arial" w:cs="Arial"/>
          <w:sz w:val="24"/>
          <w:szCs w:val="24"/>
        </w:rPr>
        <w:t>que</w:t>
      </w:r>
      <w:proofErr w:type="gramEnd"/>
      <w:r w:rsidRPr="002179A5">
        <w:rPr>
          <w:rFonts w:ascii="Arial" w:hAnsi="Arial" w:cs="Arial"/>
          <w:sz w:val="24"/>
          <w:szCs w:val="24"/>
        </w:rPr>
        <w:t xml:space="preserve"> de dicha verificación, se encontraron omisiones en el cumplimiento de los requisitos, que a continuación se señalan:</w:t>
      </w:r>
    </w:p>
    <w:p w14:paraId="334A7222" w14:textId="77777777" w:rsidR="002179A5" w:rsidRPr="00C76873" w:rsidRDefault="002179A5" w:rsidP="002179A5">
      <w:pPr>
        <w:spacing w:after="0" w:line="360" w:lineRule="auto"/>
        <w:jc w:val="both"/>
        <w:rPr>
          <w:rFonts w:ascii="Century Gothic" w:hAnsi="Century Gothic" w:cs="Arial"/>
          <w:sz w:val="6"/>
          <w:szCs w:val="20"/>
        </w:rPr>
      </w:pPr>
    </w:p>
    <w:tbl>
      <w:tblPr>
        <w:tblStyle w:val="Tablaconcuadrcula"/>
        <w:tblW w:w="8642" w:type="dxa"/>
        <w:jc w:val="center"/>
        <w:tblInd w:w="0" w:type="dxa"/>
        <w:tblLook w:val="04A0" w:firstRow="1" w:lastRow="0" w:firstColumn="1" w:lastColumn="0" w:noHBand="0" w:noVBand="1"/>
      </w:tblPr>
      <w:tblGrid>
        <w:gridCol w:w="1003"/>
        <w:gridCol w:w="2773"/>
        <w:gridCol w:w="4866"/>
      </w:tblGrid>
      <w:tr w:rsidR="002179A5" w:rsidRPr="00802661" w14:paraId="72D4DD46" w14:textId="77777777" w:rsidTr="00E24319">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0963DF" w14:textId="77777777" w:rsidR="002179A5" w:rsidRPr="00802661" w:rsidRDefault="002179A5" w:rsidP="00E24319">
            <w:pPr>
              <w:jc w:val="center"/>
              <w:rPr>
                <w:rFonts w:ascii="Arial Narrow" w:hAnsi="Arial Narrow"/>
                <w:b/>
                <w:sz w:val="18"/>
                <w:szCs w:val="20"/>
              </w:rPr>
            </w:pPr>
            <w:r w:rsidRPr="00802661">
              <w:rPr>
                <w:rFonts w:ascii="Arial Narrow" w:hAnsi="Arial Narrow"/>
                <w:b/>
                <w:sz w:val="18"/>
                <w:szCs w:val="20"/>
              </w:rPr>
              <w:t>NUMERO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493837" w14:textId="77777777" w:rsidR="002179A5" w:rsidRPr="00802661" w:rsidRDefault="002179A5" w:rsidP="00E24319">
            <w:pPr>
              <w:jc w:val="center"/>
              <w:rPr>
                <w:rFonts w:ascii="Arial Narrow" w:hAnsi="Arial Narrow"/>
                <w:b/>
                <w:sz w:val="18"/>
                <w:szCs w:val="20"/>
              </w:rPr>
            </w:pPr>
            <w:r>
              <w:rPr>
                <w:rFonts w:ascii="Arial Narrow" w:hAnsi="Arial Narrow"/>
                <w:b/>
                <w:sz w:val="18"/>
                <w:szCs w:val="20"/>
              </w:rPr>
              <w:t>REQUISITO</w:t>
            </w:r>
          </w:p>
        </w:tc>
        <w:tc>
          <w:tcPr>
            <w:tcW w:w="48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FE822D" w14:textId="77777777" w:rsidR="002179A5" w:rsidRPr="00802661" w:rsidRDefault="002179A5" w:rsidP="00E24319">
            <w:pPr>
              <w:jc w:val="center"/>
              <w:rPr>
                <w:rFonts w:ascii="Arial Narrow" w:hAnsi="Arial Narrow"/>
                <w:b/>
                <w:sz w:val="18"/>
                <w:szCs w:val="20"/>
              </w:rPr>
            </w:pPr>
            <w:r w:rsidRPr="00802661">
              <w:rPr>
                <w:rFonts w:ascii="Arial Narrow" w:hAnsi="Arial Narrow"/>
                <w:b/>
                <w:sz w:val="18"/>
                <w:szCs w:val="20"/>
              </w:rPr>
              <w:t>INCUMPLIMIENTO DE REQUISITOS</w:t>
            </w:r>
          </w:p>
        </w:tc>
      </w:tr>
      <w:tr w:rsidR="002179A5" w:rsidRPr="00802661" w14:paraId="10316E27" w14:textId="77777777" w:rsidTr="00E24319">
        <w:tblPrEx>
          <w:jc w:val="left"/>
        </w:tblPrEx>
        <w:trPr>
          <w:trHeight w:val="192"/>
        </w:trPr>
        <w:tc>
          <w:tcPr>
            <w:tcW w:w="1003" w:type="dxa"/>
            <w:vAlign w:val="center"/>
          </w:tcPr>
          <w:p w14:paraId="6B39B9F8" w14:textId="77777777" w:rsidR="002179A5" w:rsidRDefault="002179A5" w:rsidP="00E24319">
            <w:pPr>
              <w:jc w:val="center"/>
              <w:rPr>
                <w:rFonts w:ascii="Arial Narrow" w:hAnsi="Arial Narrow"/>
                <w:sz w:val="16"/>
                <w:szCs w:val="16"/>
              </w:rPr>
            </w:pPr>
            <w:r>
              <w:rPr>
                <w:rFonts w:ascii="Arial Narrow" w:hAnsi="Arial Narrow"/>
                <w:sz w:val="16"/>
                <w:szCs w:val="16"/>
              </w:rPr>
              <w:t>1</w:t>
            </w:r>
          </w:p>
        </w:tc>
        <w:tc>
          <w:tcPr>
            <w:tcW w:w="2773" w:type="dxa"/>
            <w:vAlign w:val="center"/>
          </w:tcPr>
          <w:p w14:paraId="20A03C88" w14:textId="77777777" w:rsidR="002179A5" w:rsidRDefault="002179A5" w:rsidP="00E24319">
            <w:pPr>
              <w:jc w:val="center"/>
              <w:rPr>
                <w:rFonts w:ascii="Arial Narrow" w:hAnsi="Arial Narrow"/>
                <w:sz w:val="16"/>
                <w:szCs w:val="16"/>
              </w:rPr>
            </w:pPr>
            <w:r>
              <w:rPr>
                <w:rFonts w:ascii="Arial Narrow" w:hAnsi="Arial Narrow"/>
                <w:sz w:val="16"/>
                <w:szCs w:val="16"/>
              </w:rPr>
              <w:t>FR-1</w:t>
            </w:r>
          </w:p>
        </w:tc>
        <w:tc>
          <w:tcPr>
            <w:tcW w:w="4866" w:type="dxa"/>
          </w:tcPr>
          <w:p w14:paraId="3E3EF45D" w14:textId="77777777" w:rsidR="002179A5" w:rsidRDefault="002179A5" w:rsidP="00E24319">
            <w:pPr>
              <w:jc w:val="both"/>
              <w:rPr>
                <w:rFonts w:ascii="Arial Narrow" w:hAnsi="Arial Narrow"/>
                <w:sz w:val="16"/>
                <w:szCs w:val="16"/>
              </w:rPr>
            </w:pPr>
            <w:r>
              <w:rPr>
                <w:rFonts w:ascii="Arial Narrow" w:hAnsi="Arial Narrow"/>
                <w:sz w:val="16"/>
                <w:szCs w:val="16"/>
              </w:rPr>
              <w:t>LAS CANDIDATURAS DE LA POSICIÓN 2 DE LA PLANILLA NO CUMPLE CON LOS REQUISITOS DE PARIDAD TRANSVERSAL</w:t>
            </w:r>
          </w:p>
        </w:tc>
      </w:tr>
      <w:tr w:rsidR="002179A5" w:rsidRPr="00802661" w14:paraId="6E3011FA" w14:textId="77777777" w:rsidTr="00E24319">
        <w:tblPrEx>
          <w:jc w:val="left"/>
        </w:tblPrEx>
        <w:trPr>
          <w:trHeight w:val="192"/>
        </w:trPr>
        <w:tc>
          <w:tcPr>
            <w:tcW w:w="1003" w:type="dxa"/>
            <w:vAlign w:val="center"/>
          </w:tcPr>
          <w:p w14:paraId="535B83E4" w14:textId="77777777" w:rsidR="002179A5" w:rsidRPr="00802661" w:rsidRDefault="002179A5" w:rsidP="00E24319">
            <w:pPr>
              <w:jc w:val="center"/>
              <w:rPr>
                <w:rFonts w:ascii="Arial Narrow" w:hAnsi="Arial Narrow"/>
                <w:sz w:val="16"/>
                <w:szCs w:val="16"/>
              </w:rPr>
            </w:pPr>
            <w:r>
              <w:rPr>
                <w:rFonts w:ascii="Arial Narrow" w:hAnsi="Arial Narrow"/>
                <w:sz w:val="16"/>
                <w:szCs w:val="16"/>
              </w:rPr>
              <w:t>2</w:t>
            </w:r>
          </w:p>
        </w:tc>
        <w:tc>
          <w:tcPr>
            <w:tcW w:w="2773" w:type="dxa"/>
            <w:vAlign w:val="center"/>
          </w:tcPr>
          <w:p w14:paraId="78DFA4BB" w14:textId="77777777" w:rsidR="002179A5" w:rsidRPr="00963BA9" w:rsidRDefault="002179A5" w:rsidP="00E24319">
            <w:pPr>
              <w:jc w:val="center"/>
              <w:rPr>
                <w:rFonts w:ascii="Arial Narrow" w:hAnsi="Arial Narrow"/>
                <w:sz w:val="16"/>
                <w:szCs w:val="16"/>
              </w:rPr>
            </w:pPr>
            <w:r>
              <w:rPr>
                <w:rFonts w:ascii="Arial Narrow" w:hAnsi="Arial Narrow"/>
                <w:sz w:val="16"/>
                <w:szCs w:val="16"/>
              </w:rPr>
              <w:t>FORMATO DEL SNR</w:t>
            </w:r>
          </w:p>
        </w:tc>
        <w:tc>
          <w:tcPr>
            <w:tcW w:w="4866" w:type="dxa"/>
          </w:tcPr>
          <w:p w14:paraId="36BF9125" w14:textId="77777777" w:rsidR="002179A5" w:rsidRPr="00802661" w:rsidRDefault="002179A5" w:rsidP="00E24319">
            <w:pPr>
              <w:jc w:val="both"/>
              <w:rPr>
                <w:rFonts w:ascii="Arial Narrow" w:hAnsi="Arial Narrow"/>
                <w:sz w:val="16"/>
                <w:szCs w:val="16"/>
              </w:rPr>
            </w:pPr>
            <w:r>
              <w:rPr>
                <w:rFonts w:ascii="Arial Narrow" w:hAnsi="Arial Narrow"/>
                <w:sz w:val="16"/>
                <w:szCs w:val="16"/>
              </w:rPr>
              <w:t>LA TOTALIDAD DE LAS CANDIDATURAS NO PRESENTAN EL FORMATO DEL SISTEMA NACIONAL DE REGISTRO DE CANDIDATURA DEL INSTITUTO ELECTORAL NACIONAL (INE)</w:t>
            </w:r>
          </w:p>
        </w:tc>
      </w:tr>
    </w:tbl>
    <w:p w14:paraId="452EA658" w14:textId="77777777" w:rsidR="002179A5" w:rsidRPr="00C76873" w:rsidRDefault="002179A5" w:rsidP="002179A5">
      <w:pPr>
        <w:spacing w:after="0" w:line="360" w:lineRule="auto"/>
        <w:jc w:val="both"/>
        <w:rPr>
          <w:rFonts w:ascii="Century Gothic" w:hAnsi="Century Gothic" w:cs="Arial"/>
          <w:sz w:val="2"/>
          <w:szCs w:val="20"/>
        </w:rPr>
      </w:pPr>
    </w:p>
    <w:p w14:paraId="29B067FE" w14:textId="77777777" w:rsidR="002179A5" w:rsidRPr="00C76873" w:rsidRDefault="002179A5" w:rsidP="002179A5">
      <w:pPr>
        <w:spacing w:after="0" w:line="300" w:lineRule="auto"/>
        <w:jc w:val="both"/>
        <w:rPr>
          <w:rFonts w:ascii="Century Gothic" w:hAnsi="Century Gothic" w:cs="Arial"/>
          <w:sz w:val="12"/>
          <w:szCs w:val="20"/>
        </w:rPr>
      </w:pPr>
      <w:r>
        <w:rPr>
          <w:rFonts w:ascii="Century Gothic" w:hAnsi="Century Gothic" w:cs="Arial"/>
          <w:sz w:val="12"/>
          <w:szCs w:val="20"/>
        </w:rPr>
        <w:t xml:space="preserve"> </w:t>
      </w:r>
    </w:p>
    <w:tbl>
      <w:tblPr>
        <w:tblStyle w:val="Tablaconcuadrcula"/>
        <w:tblW w:w="9456" w:type="dxa"/>
        <w:jc w:val="center"/>
        <w:tblInd w:w="0" w:type="dxa"/>
        <w:tblLook w:val="04A0" w:firstRow="1" w:lastRow="0" w:firstColumn="1" w:lastColumn="0" w:noHBand="0" w:noVBand="1"/>
      </w:tblPr>
      <w:tblGrid>
        <w:gridCol w:w="1003"/>
        <w:gridCol w:w="1601"/>
        <w:gridCol w:w="2773"/>
        <w:gridCol w:w="4079"/>
      </w:tblGrid>
      <w:tr w:rsidR="002179A5" w:rsidRPr="00802661" w14:paraId="385A2153" w14:textId="77777777" w:rsidTr="00E24319">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9255EF" w14:textId="77777777" w:rsidR="002179A5" w:rsidRPr="00802661" w:rsidRDefault="002179A5" w:rsidP="00E24319">
            <w:pPr>
              <w:jc w:val="center"/>
              <w:rPr>
                <w:rFonts w:ascii="Arial Narrow" w:hAnsi="Arial Narrow"/>
                <w:b/>
                <w:sz w:val="18"/>
                <w:szCs w:val="20"/>
              </w:rPr>
            </w:pPr>
            <w:r w:rsidRPr="00802661">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F7A9C8" w14:textId="77777777" w:rsidR="002179A5" w:rsidRPr="00802661" w:rsidRDefault="002179A5" w:rsidP="00E24319">
            <w:pPr>
              <w:jc w:val="center"/>
              <w:rPr>
                <w:rFonts w:ascii="Arial Narrow" w:hAnsi="Arial Narrow"/>
                <w:b/>
                <w:sz w:val="18"/>
                <w:szCs w:val="20"/>
              </w:rPr>
            </w:pPr>
            <w:r w:rsidRPr="00802661">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395684" w14:textId="77777777" w:rsidR="002179A5" w:rsidRPr="00802661" w:rsidRDefault="002179A5" w:rsidP="00E24319">
            <w:pPr>
              <w:jc w:val="center"/>
              <w:rPr>
                <w:rFonts w:ascii="Arial Narrow" w:hAnsi="Arial Narrow"/>
                <w:b/>
                <w:sz w:val="18"/>
                <w:szCs w:val="20"/>
              </w:rPr>
            </w:pPr>
            <w:r w:rsidRPr="00802661">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B8DF44" w14:textId="77777777" w:rsidR="002179A5" w:rsidRPr="00802661" w:rsidRDefault="002179A5" w:rsidP="00E24319">
            <w:pPr>
              <w:jc w:val="center"/>
              <w:rPr>
                <w:rFonts w:ascii="Arial Narrow" w:hAnsi="Arial Narrow"/>
                <w:b/>
                <w:sz w:val="18"/>
                <w:szCs w:val="20"/>
              </w:rPr>
            </w:pPr>
            <w:r w:rsidRPr="00802661">
              <w:rPr>
                <w:rFonts w:ascii="Arial Narrow" w:hAnsi="Arial Narrow"/>
                <w:b/>
                <w:sz w:val="18"/>
                <w:szCs w:val="20"/>
              </w:rPr>
              <w:t>INCUMPLIMIENTO DE REQUISITOS</w:t>
            </w:r>
          </w:p>
        </w:tc>
      </w:tr>
      <w:tr w:rsidR="002179A5" w:rsidRPr="00802661" w14:paraId="36C93D24" w14:textId="77777777" w:rsidTr="00E24319">
        <w:tblPrEx>
          <w:jc w:val="left"/>
        </w:tblPrEx>
        <w:trPr>
          <w:trHeight w:val="192"/>
        </w:trPr>
        <w:tc>
          <w:tcPr>
            <w:tcW w:w="1003" w:type="dxa"/>
            <w:vMerge w:val="restart"/>
            <w:vAlign w:val="center"/>
            <w:hideMark/>
          </w:tcPr>
          <w:p w14:paraId="74BD3D19" w14:textId="77777777" w:rsidR="002179A5" w:rsidRPr="00802661" w:rsidRDefault="002179A5" w:rsidP="00E24319">
            <w:pPr>
              <w:jc w:val="center"/>
              <w:rPr>
                <w:rFonts w:ascii="Arial Narrow" w:hAnsi="Arial Narrow"/>
                <w:sz w:val="16"/>
                <w:szCs w:val="16"/>
              </w:rPr>
            </w:pPr>
            <w:r>
              <w:rPr>
                <w:rFonts w:ascii="Arial Narrow" w:hAnsi="Arial Narrow"/>
                <w:sz w:val="16"/>
                <w:szCs w:val="16"/>
              </w:rPr>
              <w:t>2</w:t>
            </w:r>
          </w:p>
        </w:tc>
        <w:tc>
          <w:tcPr>
            <w:tcW w:w="1601" w:type="dxa"/>
          </w:tcPr>
          <w:p w14:paraId="1ADDE105" w14:textId="77777777" w:rsidR="002179A5" w:rsidRPr="00802661" w:rsidRDefault="002179A5" w:rsidP="00E24319">
            <w:pPr>
              <w:jc w:val="center"/>
              <w:rPr>
                <w:rFonts w:ascii="Arial Narrow" w:hAnsi="Arial Narrow"/>
                <w:b/>
                <w:sz w:val="16"/>
                <w:szCs w:val="16"/>
              </w:rPr>
            </w:pPr>
            <w:r>
              <w:rPr>
                <w:rFonts w:ascii="Arial Narrow" w:hAnsi="Arial Narrow"/>
                <w:b/>
                <w:sz w:val="16"/>
                <w:szCs w:val="16"/>
              </w:rPr>
              <w:t>PROPIETARIA</w:t>
            </w:r>
          </w:p>
        </w:tc>
        <w:tc>
          <w:tcPr>
            <w:tcW w:w="2773" w:type="dxa"/>
            <w:hideMark/>
          </w:tcPr>
          <w:p w14:paraId="4D0E36E3" w14:textId="77777777" w:rsidR="002179A5" w:rsidRPr="00802661" w:rsidRDefault="002179A5" w:rsidP="00E24319">
            <w:pPr>
              <w:jc w:val="center"/>
              <w:rPr>
                <w:rFonts w:ascii="Arial Narrow" w:hAnsi="Arial Narrow"/>
                <w:b/>
                <w:sz w:val="16"/>
                <w:szCs w:val="16"/>
              </w:rPr>
            </w:pPr>
            <w:r>
              <w:rPr>
                <w:rFonts w:ascii="Arial Narrow" w:hAnsi="Arial Narrow"/>
                <w:b/>
                <w:sz w:val="16"/>
                <w:szCs w:val="16"/>
              </w:rPr>
              <w:t>DANISA DANILU AGUILAR LOPEZ</w:t>
            </w:r>
          </w:p>
        </w:tc>
        <w:tc>
          <w:tcPr>
            <w:tcW w:w="4079" w:type="dxa"/>
          </w:tcPr>
          <w:p w14:paraId="355C738A" w14:textId="77777777" w:rsidR="002179A5" w:rsidRPr="00802661" w:rsidRDefault="002179A5" w:rsidP="00E24319">
            <w:pPr>
              <w:jc w:val="both"/>
              <w:rPr>
                <w:rFonts w:ascii="Arial Narrow" w:hAnsi="Arial Narrow"/>
                <w:sz w:val="16"/>
                <w:szCs w:val="16"/>
              </w:rPr>
            </w:pPr>
            <w:r>
              <w:rPr>
                <w:rFonts w:ascii="Arial Narrow" w:hAnsi="Arial Narrow"/>
                <w:sz w:val="16"/>
                <w:szCs w:val="16"/>
              </w:rPr>
              <w:t>1. NO PRESENTA CERTIFICADO DE ESTUDIOS</w:t>
            </w:r>
          </w:p>
        </w:tc>
      </w:tr>
      <w:tr w:rsidR="002179A5" w:rsidRPr="00802661" w14:paraId="02E4B9CC" w14:textId="77777777" w:rsidTr="00E24319">
        <w:tblPrEx>
          <w:jc w:val="left"/>
        </w:tblPrEx>
        <w:trPr>
          <w:trHeight w:val="192"/>
        </w:trPr>
        <w:tc>
          <w:tcPr>
            <w:tcW w:w="1003" w:type="dxa"/>
            <w:vMerge/>
            <w:vAlign w:val="center"/>
          </w:tcPr>
          <w:p w14:paraId="613B56E8" w14:textId="77777777" w:rsidR="002179A5" w:rsidRDefault="002179A5" w:rsidP="00E24319">
            <w:pPr>
              <w:jc w:val="center"/>
              <w:rPr>
                <w:rFonts w:ascii="Arial Narrow" w:hAnsi="Arial Narrow"/>
                <w:sz w:val="16"/>
                <w:szCs w:val="16"/>
              </w:rPr>
            </w:pPr>
          </w:p>
        </w:tc>
        <w:tc>
          <w:tcPr>
            <w:tcW w:w="1601" w:type="dxa"/>
          </w:tcPr>
          <w:p w14:paraId="3C81F167" w14:textId="77777777" w:rsidR="002179A5" w:rsidRDefault="002179A5" w:rsidP="00E24319">
            <w:pPr>
              <w:jc w:val="center"/>
              <w:rPr>
                <w:rFonts w:ascii="Arial Narrow" w:hAnsi="Arial Narrow"/>
                <w:b/>
                <w:sz w:val="16"/>
                <w:szCs w:val="16"/>
              </w:rPr>
            </w:pPr>
            <w:r>
              <w:rPr>
                <w:rFonts w:ascii="Arial Narrow" w:hAnsi="Arial Narrow"/>
                <w:b/>
                <w:sz w:val="16"/>
                <w:szCs w:val="16"/>
              </w:rPr>
              <w:t>SUPLENTE</w:t>
            </w:r>
          </w:p>
        </w:tc>
        <w:tc>
          <w:tcPr>
            <w:tcW w:w="2773" w:type="dxa"/>
          </w:tcPr>
          <w:p w14:paraId="6016BE34" w14:textId="77777777" w:rsidR="002179A5" w:rsidRDefault="002179A5" w:rsidP="00E24319">
            <w:pPr>
              <w:jc w:val="center"/>
              <w:rPr>
                <w:rFonts w:ascii="Arial Narrow" w:hAnsi="Arial Narrow"/>
                <w:b/>
                <w:sz w:val="16"/>
                <w:szCs w:val="16"/>
              </w:rPr>
            </w:pPr>
            <w:r>
              <w:rPr>
                <w:rFonts w:ascii="Arial Narrow" w:hAnsi="Arial Narrow"/>
                <w:b/>
                <w:sz w:val="16"/>
                <w:szCs w:val="16"/>
              </w:rPr>
              <w:t>MARTIN MARRUFO CORRAL</w:t>
            </w:r>
          </w:p>
        </w:tc>
        <w:tc>
          <w:tcPr>
            <w:tcW w:w="4079" w:type="dxa"/>
          </w:tcPr>
          <w:p w14:paraId="638BBD29" w14:textId="77777777" w:rsidR="002179A5" w:rsidRDefault="002179A5" w:rsidP="00E24319">
            <w:pPr>
              <w:jc w:val="both"/>
              <w:rPr>
                <w:rFonts w:ascii="Arial Narrow" w:hAnsi="Arial Narrow"/>
                <w:sz w:val="16"/>
                <w:szCs w:val="16"/>
              </w:rPr>
            </w:pPr>
            <w:r>
              <w:rPr>
                <w:rFonts w:ascii="Arial Narrow" w:hAnsi="Arial Narrow"/>
                <w:sz w:val="16"/>
                <w:szCs w:val="16"/>
              </w:rPr>
              <w:t>1. NO PRESENTA CERTIFICADO DE ESTUDIOS</w:t>
            </w:r>
          </w:p>
        </w:tc>
      </w:tr>
    </w:tbl>
    <w:p w14:paraId="6DFF44F5" w14:textId="2A559F6C" w:rsidR="00727BA1" w:rsidRDefault="00727BA1" w:rsidP="002179A5">
      <w:pPr>
        <w:jc w:val="both"/>
        <w:rPr>
          <w:rFonts w:ascii="Arial" w:hAnsi="Arial" w:cs="Arial"/>
          <w:sz w:val="24"/>
          <w:szCs w:val="24"/>
        </w:rPr>
      </w:pPr>
      <w:r>
        <w:rPr>
          <w:rFonts w:ascii="Arial" w:hAnsi="Arial" w:cs="Arial"/>
          <w:sz w:val="24"/>
          <w:szCs w:val="24"/>
        </w:rPr>
        <w:t xml:space="preserve"> </w:t>
      </w:r>
    </w:p>
    <w:p w14:paraId="75055C71" w14:textId="247D939F" w:rsidR="00727BA1" w:rsidRPr="000D11EA" w:rsidRDefault="00727BA1" w:rsidP="00727BA1">
      <w:pPr>
        <w:jc w:val="both"/>
        <w:rPr>
          <w:rFonts w:ascii="Arial" w:hAnsi="Arial" w:cs="Arial"/>
          <w:sz w:val="24"/>
          <w:szCs w:val="24"/>
        </w:rPr>
      </w:pPr>
      <w:r>
        <w:rPr>
          <w:rFonts w:ascii="Arial" w:hAnsi="Arial" w:cs="Arial"/>
          <w:sz w:val="24"/>
          <w:szCs w:val="24"/>
        </w:rPr>
        <w:t xml:space="preserve">35.- </w:t>
      </w:r>
      <w:r w:rsidR="005449C1">
        <w:rPr>
          <w:rFonts w:ascii="Arial" w:hAnsi="Arial" w:cs="Arial"/>
          <w:sz w:val="24"/>
          <w:szCs w:val="24"/>
        </w:rPr>
        <w:t xml:space="preserve">Que en fecha 02 </w:t>
      </w:r>
      <w:proofErr w:type="gramStart"/>
      <w:r w:rsidR="005449C1">
        <w:rPr>
          <w:rFonts w:ascii="Arial" w:hAnsi="Arial" w:cs="Arial"/>
          <w:sz w:val="24"/>
          <w:szCs w:val="24"/>
        </w:rPr>
        <w:t>Abril</w:t>
      </w:r>
      <w:proofErr w:type="gramEnd"/>
      <w:r w:rsidR="005449C1">
        <w:rPr>
          <w:rFonts w:ascii="Arial" w:hAnsi="Arial" w:cs="Arial"/>
          <w:sz w:val="24"/>
          <w:szCs w:val="24"/>
        </w:rPr>
        <w:t xml:space="preserve"> </w:t>
      </w:r>
      <w:r w:rsidRPr="000D11EA">
        <w:rPr>
          <w:rFonts w:ascii="Arial" w:hAnsi="Arial" w:cs="Arial"/>
          <w:sz w:val="24"/>
          <w:szCs w:val="24"/>
        </w:rPr>
        <w:t xml:space="preserve">se realizó la notificación </w:t>
      </w:r>
      <w:r w:rsidR="002179A5" w:rsidRPr="000D11EA">
        <w:rPr>
          <w:rFonts w:ascii="Arial" w:hAnsi="Arial" w:cs="Arial"/>
          <w:sz w:val="24"/>
          <w:szCs w:val="24"/>
        </w:rPr>
        <w:t>al Partido Político MORENA</w:t>
      </w:r>
      <w:r w:rsidRPr="000D11EA">
        <w:rPr>
          <w:rFonts w:ascii="Arial" w:hAnsi="Arial" w:cs="Arial"/>
          <w:sz w:val="24"/>
          <w:szCs w:val="24"/>
        </w:rPr>
        <w:t xml:space="preserve"> de las observaciones encontradas en la documentación presentada.</w:t>
      </w:r>
    </w:p>
    <w:p w14:paraId="69B85B8D" w14:textId="67033235" w:rsidR="00727BA1" w:rsidRDefault="00727BA1" w:rsidP="00727BA1">
      <w:pPr>
        <w:jc w:val="both"/>
        <w:rPr>
          <w:rFonts w:ascii="Arial" w:hAnsi="Arial" w:cs="Arial"/>
          <w:sz w:val="24"/>
          <w:szCs w:val="24"/>
        </w:rPr>
      </w:pPr>
      <w:r w:rsidRPr="000D11EA">
        <w:rPr>
          <w:rFonts w:ascii="Arial" w:hAnsi="Arial" w:cs="Arial"/>
          <w:sz w:val="24"/>
          <w:szCs w:val="24"/>
        </w:rPr>
        <w:t xml:space="preserve">36.- </w:t>
      </w:r>
      <w:r w:rsidR="002179A5" w:rsidRPr="000D11EA">
        <w:rPr>
          <w:rFonts w:ascii="Arial" w:hAnsi="Arial" w:cs="Arial"/>
          <w:sz w:val="24"/>
          <w:szCs w:val="24"/>
        </w:rPr>
        <w:t xml:space="preserve">El Partido Político MORENA en fecha 03 de </w:t>
      </w:r>
      <w:proofErr w:type="gramStart"/>
      <w:r w:rsidR="002179A5" w:rsidRPr="000D11EA">
        <w:rPr>
          <w:rFonts w:ascii="Arial" w:hAnsi="Arial" w:cs="Arial"/>
          <w:sz w:val="24"/>
          <w:szCs w:val="24"/>
        </w:rPr>
        <w:t>Abril</w:t>
      </w:r>
      <w:proofErr w:type="gramEnd"/>
      <w:r w:rsidRPr="000D11EA">
        <w:rPr>
          <w:rFonts w:ascii="Arial" w:hAnsi="Arial" w:cs="Arial"/>
          <w:sz w:val="24"/>
          <w:szCs w:val="24"/>
        </w:rPr>
        <w:t xml:space="preserve"> de dos mil veintiuno, su</w:t>
      </w:r>
      <w:r w:rsidR="000D11EA" w:rsidRPr="000D11EA">
        <w:rPr>
          <w:rFonts w:ascii="Arial" w:hAnsi="Arial" w:cs="Arial"/>
          <w:sz w:val="24"/>
          <w:szCs w:val="24"/>
        </w:rPr>
        <w:t>bsanó las omisiones referidas.</w:t>
      </w:r>
      <w:bookmarkStart w:id="0" w:name="_GoBack"/>
      <w:bookmarkEnd w:id="0"/>
    </w:p>
    <w:p w14:paraId="609D1DD7" w14:textId="5B5EFC1B" w:rsidR="00727BA1" w:rsidRDefault="00727BA1" w:rsidP="00727BA1">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w:t>
      </w:r>
      <w:r w:rsidR="000D11EA">
        <w:rPr>
          <w:rFonts w:ascii="Arial" w:hAnsi="Arial" w:cs="Arial"/>
          <w:sz w:val="24"/>
          <w:szCs w:val="24"/>
        </w:rPr>
        <w:t>stulada por el Partido Político MORENA</w:t>
      </w:r>
      <w:r>
        <w:rPr>
          <w:rFonts w:ascii="Arial" w:hAnsi="Arial" w:cs="Arial"/>
          <w:sz w:val="24"/>
          <w:szCs w:val="24"/>
        </w:rPr>
        <w:t>, para integrar el H</w:t>
      </w:r>
      <w:r w:rsidR="000D11EA">
        <w:rPr>
          <w:rFonts w:ascii="Arial" w:hAnsi="Arial" w:cs="Arial"/>
          <w:sz w:val="24"/>
          <w:szCs w:val="24"/>
        </w:rPr>
        <w:t>. Ayuntamiento del municipio de Dzilam de Bravo</w:t>
      </w:r>
      <w:r>
        <w:rPr>
          <w:rFonts w:ascii="Arial" w:hAnsi="Arial" w:cs="Arial"/>
          <w:sz w:val="24"/>
          <w:szCs w:val="24"/>
        </w:rPr>
        <w:t>, Yucatán, en las elecciones a realizarse el día seis de junio de dos mil veintiuno.</w:t>
      </w:r>
    </w:p>
    <w:p w14:paraId="068EB759" w14:textId="76C6A1AD" w:rsidR="00727BA1" w:rsidRDefault="00727BA1" w:rsidP="00727BA1">
      <w:pPr>
        <w:jc w:val="both"/>
        <w:rPr>
          <w:rFonts w:ascii="Arial" w:hAnsi="Arial" w:cs="Arial"/>
          <w:sz w:val="24"/>
          <w:szCs w:val="24"/>
        </w:rPr>
      </w:pPr>
      <w:r>
        <w:rPr>
          <w:rFonts w:ascii="Arial" w:hAnsi="Arial" w:cs="Arial"/>
          <w:sz w:val="24"/>
          <w:szCs w:val="24"/>
        </w:rPr>
        <w:t>Por lo anteriormente expuesto y fundado, el</w:t>
      </w:r>
      <w:r w:rsidR="000D11EA">
        <w:rPr>
          <w:rFonts w:ascii="Arial" w:hAnsi="Arial" w:cs="Arial"/>
          <w:sz w:val="24"/>
          <w:szCs w:val="24"/>
        </w:rPr>
        <w:t xml:space="preserve"> Consejo Electoral Municipal de Dzilam de Bravo</w:t>
      </w:r>
      <w:r>
        <w:rPr>
          <w:rFonts w:ascii="Arial" w:hAnsi="Arial" w:cs="Arial"/>
          <w:sz w:val="24"/>
          <w:szCs w:val="24"/>
        </w:rPr>
        <w:t>, Yucatán, emite el siguiente:</w:t>
      </w:r>
    </w:p>
    <w:p w14:paraId="2C1C7693" w14:textId="77777777" w:rsidR="00727BA1" w:rsidRDefault="00727BA1" w:rsidP="00727BA1">
      <w:pPr>
        <w:jc w:val="both"/>
        <w:rPr>
          <w:rFonts w:ascii="Arial" w:hAnsi="Arial" w:cs="Arial"/>
          <w:sz w:val="24"/>
          <w:szCs w:val="24"/>
        </w:rPr>
      </w:pPr>
    </w:p>
    <w:p w14:paraId="5AFDA371" w14:textId="77777777" w:rsidR="00727BA1" w:rsidRDefault="00727BA1" w:rsidP="00727BA1">
      <w:pPr>
        <w:jc w:val="center"/>
        <w:rPr>
          <w:rFonts w:ascii="Arial" w:hAnsi="Arial" w:cs="Arial"/>
          <w:b/>
          <w:bCs/>
          <w:sz w:val="24"/>
          <w:szCs w:val="24"/>
        </w:rPr>
      </w:pPr>
      <w:r>
        <w:rPr>
          <w:rFonts w:ascii="Arial" w:hAnsi="Arial" w:cs="Arial"/>
          <w:b/>
          <w:bCs/>
          <w:sz w:val="24"/>
          <w:szCs w:val="24"/>
        </w:rPr>
        <w:t>ACUERDO</w:t>
      </w:r>
    </w:p>
    <w:p w14:paraId="4F740F2D" w14:textId="0B2329AE" w:rsidR="00727BA1" w:rsidRDefault="00727BA1" w:rsidP="00727BA1">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w:t>
      </w:r>
      <w:r w:rsidR="00DA1FF0">
        <w:rPr>
          <w:rFonts w:ascii="Arial" w:hAnsi="Arial" w:cs="Arial"/>
          <w:sz w:val="24"/>
          <w:szCs w:val="24"/>
        </w:rPr>
        <w:t>stulada por el Partido Político MORENA</w:t>
      </w:r>
      <w:r>
        <w:rPr>
          <w:rFonts w:ascii="Arial" w:hAnsi="Arial" w:cs="Arial"/>
          <w:sz w:val="24"/>
          <w:szCs w:val="24"/>
        </w:rPr>
        <w:t>, en el Proceso Electoral Ordinario 2020-2021 para i</w:t>
      </w:r>
      <w:r w:rsidR="00DA1FF0">
        <w:rPr>
          <w:rFonts w:ascii="Arial" w:hAnsi="Arial" w:cs="Arial"/>
          <w:sz w:val="24"/>
          <w:szCs w:val="24"/>
        </w:rPr>
        <w:t>ntegrar el H. Ayuntamiento de Dzilam de Bravo</w:t>
      </w:r>
      <w:r>
        <w:rPr>
          <w:rFonts w:ascii="Arial" w:hAnsi="Arial" w:cs="Arial"/>
          <w:sz w:val="24"/>
          <w:szCs w:val="24"/>
        </w:rPr>
        <w:t>, Yucatán, la cual se encuentra conformada por la siguiente ciudadanía en el orden que a continuación se mención:</w:t>
      </w:r>
    </w:p>
    <w:p w14:paraId="3277051E" w14:textId="77777777" w:rsidR="00727BA1" w:rsidRDefault="00727BA1" w:rsidP="00727BA1">
      <w:pPr>
        <w:jc w:val="both"/>
        <w:rPr>
          <w:rFonts w:ascii="Arial" w:hAnsi="Arial" w:cs="Arial"/>
          <w:sz w:val="24"/>
          <w:szCs w:val="24"/>
        </w:rPr>
      </w:pPr>
    </w:p>
    <w:p w14:paraId="1B0C2C96" w14:textId="77777777" w:rsidR="00727BA1" w:rsidRDefault="00727BA1" w:rsidP="00727BA1">
      <w:pPr>
        <w:jc w:val="both"/>
        <w:rPr>
          <w:rFonts w:ascii="Arial" w:hAnsi="Arial" w:cs="Arial"/>
          <w:sz w:val="24"/>
          <w:szCs w:val="24"/>
        </w:rPr>
      </w:pPr>
    </w:p>
    <w:p w14:paraId="3D17446B" w14:textId="77777777" w:rsidR="00727BA1" w:rsidRDefault="00727BA1" w:rsidP="00727BA1">
      <w:pPr>
        <w:jc w:val="both"/>
        <w:rPr>
          <w:rFonts w:ascii="Arial" w:hAnsi="Arial" w:cs="Arial"/>
          <w:sz w:val="24"/>
          <w:szCs w:val="24"/>
        </w:rPr>
      </w:pPr>
    </w:p>
    <w:p w14:paraId="40A8931D" w14:textId="77777777" w:rsidR="00727BA1" w:rsidRDefault="00727BA1" w:rsidP="00727BA1">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141"/>
        <w:gridCol w:w="3871"/>
      </w:tblGrid>
      <w:tr w:rsidR="00727BA1" w14:paraId="42323192" w14:textId="77777777" w:rsidTr="00727BA1">
        <w:tc>
          <w:tcPr>
            <w:tcW w:w="816" w:type="dxa"/>
            <w:tcBorders>
              <w:top w:val="single" w:sz="4" w:space="0" w:color="auto"/>
              <w:left w:val="single" w:sz="4" w:space="0" w:color="auto"/>
              <w:bottom w:val="single" w:sz="4" w:space="0" w:color="auto"/>
              <w:right w:val="single" w:sz="4" w:space="0" w:color="auto"/>
            </w:tcBorders>
            <w:hideMark/>
          </w:tcPr>
          <w:p w14:paraId="1E209C00" w14:textId="77777777" w:rsidR="00727BA1" w:rsidRDefault="00727BA1">
            <w:pPr>
              <w:spacing w:line="240" w:lineRule="auto"/>
              <w:jc w:val="both"/>
              <w:rPr>
                <w:rFonts w:ascii="Arial" w:hAnsi="Arial" w:cs="Arial"/>
                <w:b/>
                <w:bCs/>
                <w:sz w:val="20"/>
                <w:szCs w:val="24"/>
              </w:rPr>
            </w:pPr>
            <w:r>
              <w:rPr>
                <w:rFonts w:ascii="Arial" w:hAnsi="Arial" w:cs="Arial"/>
                <w:b/>
                <w:bCs/>
                <w:sz w:val="20"/>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640D6505" w14:textId="77777777" w:rsidR="00727BA1" w:rsidRDefault="00727BA1">
            <w:pPr>
              <w:spacing w:line="240" w:lineRule="auto"/>
              <w:jc w:val="both"/>
              <w:rPr>
                <w:rFonts w:ascii="Arial" w:hAnsi="Arial" w:cs="Arial"/>
                <w:b/>
                <w:bCs/>
                <w:sz w:val="20"/>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70E9536B" w14:textId="77777777" w:rsidR="00727BA1" w:rsidRDefault="00727BA1">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DA1FF0" w14:paraId="386256CB" w14:textId="77777777" w:rsidTr="00727BA1">
        <w:tc>
          <w:tcPr>
            <w:tcW w:w="816" w:type="dxa"/>
            <w:tcBorders>
              <w:top w:val="single" w:sz="4" w:space="0" w:color="auto"/>
              <w:left w:val="single" w:sz="4" w:space="0" w:color="auto"/>
              <w:bottom w:val="single" w:sz="4" w:space="0" w:color="auto"/>
              <w:right w:val="single" w:sz="4" w:space="0" w:color="auto"/>
            </w:tcBorders>
            <w:hideMark/>
          </w:tcPr>
          <w:p w14:paraId="1AA49811" w14:textId="77777777" w:rsidR="00DA1FF0" w:rsidRDefault="00DA1FF0" w:rsidP="00DA1FF0">
            <w:pPr>
              <w:spacing w:line="240" w:lineRule="auto"/>
              <w:jc w:val="both"/>
              <w:rPr>
                <w:rFonts w:ascii="Arial" w:hAnsi="Arial" w:cs="Arial"/>
                <w:sz w:val="24"/>
                <w:szCs w:val="24"/>
              </w:rPr>
            </w:pPr>
            <w:r>
              <w:rPr>
                <w:rFonts w:ascii="Arial" w:hAnsi="Arial" w:cs="Arial"/>
                <w:sz w:val="24"/>
                <w:szCs w:val="24"/>
              </w:rPr>
              <w:t>1</w:t>
            </w:r>
          </w:p>
        </w:tc>
        <w:tc>
          <w:tcPr>
            <w:tcW w:w="4141" w:type="dxa"/>
            <w:tcBorders>
              <w:top w:val="single" w:sz="4" w:space="0" w:color="auto"/>
              <w:left w:val="single" w:sz="4" w:space="0" w:color="auto"/>
              <w:bottom w:val="single" w:sz="4" w:space="0" w:color="auto"/>
              <w:right w:val="single" w:sz="4" w:space="0" w:color="auto"/>
            </w:tcBorders>
          </w:tcPr>
          <w:p w14:paraId="376A787A" w14:textId="06D735B7" w:rsidR="00DA1FF0" w:rsidRDefault="00DA1FF0" w:rsidP="00DA1FF0">
            <w:pPr>
              <w:spacing w:line="240" w:lineRule="auto"/>
              <w:jc w:val="both"/>
              <w:rPr>
                <w:rFonts w:ascii="Arial" w:hAnsi="Arial" w:cs="Arial"/>
                <w:sz w:val="24"/>
                <w:szCs w:val="24"/>
              </w:rPr>
            </w:pPr>
            <w:r>
              <w:rPr>
                <w:rFonts w:ascii="Arial" w:hAnsi="Arial" w:cs="Arial"/>
                <w:sz w:val="24"/>
                <w:szCs w:val="24"/>
              </w:rPr>
              <w:t>JUBENTINO SANCHEZ LUGO</w:t>
            </w:r>
          </w:p>
        </w:tc>
        <w:tc>
          <w:tcPr>
            <w:tcW w:w="3871" w:type="dxa"/>
            <w:tcBorders>
              <w:top w:val="single" w:sz="4" w:space="0" w:color="auto"/>
              <w:left w:val="single" w:sz="4" w:space="0" w:color="auto"/>
              <w:bottom w:val="single" w:sz="4" w:space="0" w:color="auto"/>
              <w:right w:val="single" w:sz="4" w:space="0" w:color="auto"/>
            </w:tcBorders>
          </w:tcPr>
          <w:p w14:paraId="0A9CB1EC" w14:textId="087FD5FD" w:rsidR="00DA1FF0" w:rsidRDefault="00DA1FF0" w:rsidP="00DA1FF0">
            <w:pPr>
              <w:spacing w:line="240" w:lineRule="auto"/>
              <w:jc w:val="both"/>
              <w:rPr>
                <w:rFonts w:ascii="Arial" w:hAnsi="Arial" w:cs="Arial"/>
                <w:sz w:val="24"/>
                <w:szCs w:val="24"/>
              </w:rPr>
            </w:pPr>
            <w:r>
              <w:rPr>
                <w:rFonts w:ascii="Arial" w:hAnsi="Arial" w:cs="Arial"/>
                <w:sz w:val="24"/>
                <w:szCs w:val="24"/>
              </w:rPr>
              <w:t>GRETY ELENA AGUIRRE TREJO</w:t>
            </w:r>
          </w:p>
        </w:tc>
      </w:tr>
      <w:tr w:rsidR="00DA1FF0" w14:paraId="1E17A955" w14:textId="77777777" w:rsidTr="00727BA1">
        <w:tc>
          <w:tcPr>
            <w:tcW w:w="816" w:type="dxa"/>
            <w:tcBorders>
              <w:top w:val="single" w:sz="4" w:space="0" w:color="auto"/>
              <w:left w:val="single" w:sz="4" w:space="0" w:color="auto"/>
              <w:bottom w:val="single" w:sz="4" w:space="0" w:color="auto"/>
              <w:right w:val="single" w:sz="4" w:space="0" w:color="auto"/>
            </w:tcBorders>
            <w:hideMark/>
          </w:tcPr>
          <w:p w14:paraId="2FA87C18" w14:textId="77777777" w:rsidR="00DA1FF0" w:rsidRDefault="00DA1FF0" w:rsidP="00DA1FF0">
            <w:pPr>
              <w:spacing w:line="240" w:lineRule="auto"/>
              <w:jc w:val="both"/>
              <w:rPr>
                <w:rFonts w:ascii="Arial" w:hAnsi="Arial" w:cs="Arial"/>
                <w:sz w:val="24"/>
                <w:szCs w:val="24"/>
              </w:rPr>
            </w:pPr>
            <w:r>
              <w:rPr>
                <w:rFonts w:ascii="Arial" w:hAnsi="Arial" w:cs="Arial"/>
                <w:sz w:val="24"/>
                <w:szCs w:val="24"/>
              </w:rPr>
              <w:t>2</w:t>
            </w:r>
          </w:p>
        </w:tc>
        <w:tc>
          <w:tcPr>
            <w:tcW w:w="4141" w:type="dxa"/>
            <w:tcBorders>
              <w:top w:val="single" w:sz="4" w:space="0" w:color="auto"/>
              <w:left w:val="single" w:sz="4" w:space="0" w:color="auto"/>
              <w:bottom w:val="single" w:sz="4" w:space="0" w:color="auto"/>
              <w:right w:val="single" w:sz="4" w:space="0" w:color="auto"/>
            </w:tcBorders>
          </w:tcPr>
          <w:p w14:paraId="6DAD7018" w14:textId="7646BAD3" w:rsidR="00DA1FF0" w:rsidRDefault="00DA1FF0" w:rsidP="00DA1FF0">
            <w:pPr>
              <w:spacing w:line="240" w:lineRule="auto"/>
              <w:jc w:val="both"/>
              <w:rPr>
                <w:rFonts w:ascii="Arial" w:hAnsi="Arial" w:cs="Arial"/>
                <w:sz w:val="24"/>
                <w:szCs w:val="24"/>
              </w:rPr>
            </w:pPr>
            <w:r>
              <w:rPr>
                <w:rFonts w:ascii="Arial" w:hAnsi="Arial" w:cs="Arial"/>
                <w:sz w:val="24"/>
                <w:szCs w:val="24"/>
              </w:rPr>
              <w:t>DANISA DANILU AGUILAR LOPEZ</w:t>
            </w:r>
          </w:p>
        </w:tc>
        <w:tc>
          <w:tcPr>
            <w:tcW w:w="3871" w:type="dxa"/>
            <w:tcBorders>
              <w:top w:val="single" w:sz="4" w:space="0" w:color="auto"/>
              <w:left w:val="single" w:sz="4" w:space="0" w:color="auto"/>
              <w:bottom w:val="single" w:sz="4" w:space="0" w:color="auto"/>
              <w:right w:val="single" w:sz="4" w:space="0" w:color="auto"/>
            </w:tcBorders>
          </w:tcPr>
          <w:p w14:paraId="31B23E95" w14:textId="3169503B" w:rsidR="00DA1FF0" w:rsidRDefault="001E1249" w:rsidP="00DA1FF0">
            <w:pPr>
              <w:spacing w:line="240" w:lineRule="auto"/>
              <w:jc w:val="both"/>
              <w:rPr>
                <w:rFonts w:ascii="Arial" w:hAnsi="Arial" w:cs="Arial"/>
                <w:sz w:val="24"/>
                <w:szCs w:val="24"/>
              </w:rPr>
            </w:pPr>
            <w:r>
              <w:rPr>
                <w:rFonts w:ascii="Arial" w:hAnsi="Arial" w:cs="Arial"/>
                <w:sz w:val="24"/>
                <w:szCs w:val="24"/>
              </w:rPr>
              <w:t>CLARITA ROSINORI PERAZA CRUZ</w:t>
            </w:r>
          </w:p>
        </w:tc>
      </w:tr>
      <w:tr w:rsidR="00DA1FF0" w14:paraId="48DF8DC5" w14:textId="77777777" w:rsidTr="00727BA1">
        <w:tc>
          <w:tcPr>
            <w:tcW w:w="816" w:type="dxa"/>
            <w:tcBorders>
              <w:top w:val="single" w:sz="4" w:space="0" w:color="auto"/>
              <w:left w:val="single" w:sz="4" w:space="0" w:color="auto"/>
              <w:bottom w:val="single" w:sz="4" w:space="0" w:color="auto"/>
              <w:right w:val="single" w:sz="4" w:space="0" w:color="auto"/>
            </w:tcBorders>
            <w:hideMark/>
          </w:tcPr>
          <w:p w14:paraId="0CC7D522" w14:textId="77777777" w:rsidR="00DA1FF0" w:rsidRDefault="00DA1FF0" w:rsidP="00DA1FF0">
            <w:pPr>
              <w:spacing w:line="240" w:lineRule="auto"/>
              <w:jc w:val="both"/>
              <w:rPr>
                <w:rFonts w:ascii="Arial" w:hAnsi="Arial" w:cs="Arial"/>
                <w:sz w:val="24"/>
                <w:szCs w:val="24"/>
              </w:rPr>
            </w:pPr>
            <w:r>
              <w:rPr>
                <w:rFonts w:ascii="Arial" w:hAnsi="Arial" w:cs="Arial"/>
                <w:sz w:val="24"/>
                <w:szCs w:val="24"/>
              </w:rPr>
              <w:t>3</w:t>
            </w:r>
          </w:p>
        </w:tc>
        <w:tc>
          <w:tcPr>
            <w:tcW w:w="4141" w:type="dxa"/>
            <w:tcBorders>
              <w:top w:val="single" w:sz="4" w:space="0" w:color="auto"/>
              <w:left w:val="single" w:sz="4" w:space="0" w:color="auto"/>
              <w:bottom w:val="single" w:sz="4" w:space="0" w:color="auto"/>
              <w:right w:val="single" w:sz="4" w:space="0" w:color="auto"/>
            </w:tcBorders>
          </w:tcPr>
          <w:p w14:paraId="6948361E" w14:textId="7C345D84" w:rsidR="00DA1FF0" w:rsidRDefault="00DA1FF0" w:rsidP="00DA1FF0">
            <w:pPr>
              <w:spacing w:line="240" w:lineRule="auto"/>
              <w:jc w:val="both"/>
              <w:rPr>
                <w:rFonts w:ascii="Arial" w:hAnsi="Arial" w:cs="Arial"/>
                <w:sz w:val="24"/>
                <w:szCs w:val="24"/>
              </w:rPr>
            </w:pPr>
            <w:r>
              <w:rPr>
                <w:rFonts w:ascii="Arial" w:hAnsi="Arial" w:cs="Arial"/>
                <w:sz w:val="24"/>
                <w:szCs w:val="24"/>
              </w:rPr>
              <w:t>HECTOR ARMANDO DOMINGUEZ CARRILLO</w:t>
            </w:r>
          </w:p>
        </w:tc>
        <w:tc>
          <w:tcPr>
            <w:tcW w:w="3871" w:type="dxa"/>
            <w:tcBorders>
              <w:top w:val="single" w:sz="4" w:space="0" w:color="auto"/>
              <w:left w:val="single" w:sz="4" w:space="0" w:color="auto"/>
              <w:bottom w:val="single" w:sz="4" w:space="0" w:color="auto"/>
              <w:right w:val="single" w:sz="4" w:space="0" w:color="auto"/>
            </w:tcBorders>
          </w:tcPr>
          <w:p w14:paraId="125102A7" w14:textId="4A9FD60D" w:rsidR="00DA1FF0" w:rsidRDefault="001E1249" w:rsidP="00DA1FF0">
            <w:pPr>
              <w:spacing w:line="240" w:lineRule="auto"/>
              <w:jc w:val="both"/>
              <w:rPr>
                <w:rFonts w:ascii="Arial" w:hAnsi="Arial" w:cs="Arial"/>
                <w:sz w:val="24"/>
                <w:szCs w:val="24"/>
              </w:rPr>
            </w:pPr>
            <w:r>
              <w:rPr>
                <w:rFonts w:ascii="Arial" w:hAnsi="Arial" w:cs="Arial"/>
                <w:sz w:val="24"/>
                <w:szCs w:val="24"/>
              </w:rPr>
              <w:t>MARTIN MARRUFO CORAL</w:t>
            </w:r>
          </w:p>
        </w:tc>
      </w:tr>
    </w:tbl>
    <w:p w14:paraId="434E94E2" w14:textId="77777777" w:rsidR="00727BA1" w:rsidRDefault="00727BA1" w:rsidP="00727BA1">
      <w:pPr>
        <w:jc w:val="both"/>
        <w:rPr>
          <w:rFonts w:ascii="Arial" w:hAnsi="Arial" w:cs="Arial"/>
          <w:sz w:val="24"/>
          <w:szCs w:val="24"/>
        </w:rPr>
      </w:pPr>
    </w:p>
    <w:p w14:paraId="38B28588" w14:textId="77777777" w:rsidR="00727BA1" w:rsidRDefault="00727BA1" w:rsidP="00727BA1">
      <w:pPr>
        <w:jc w:val="both"/>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141"/>
        <w:gridCol w:w="3871"/>
      </w:tblGrid>
      <w:tr w:rsidR="00727BA1" w14:paraId="18F524B0" w14:textId="77777777" w:rsidTr="00727BA1">
        <w:tc>
          <w:tcPr>
            <w:tcW w:w="816" w:type="dxa"/>
            <w:tcBorders>
              <w:top w:val="single" w:sz="4" w:space="0" w:color="auto"/>
              <w:left w:val="single" w:sz="4" w:space="0" w:color="auto"/>
              <w:bottom w:val="single" w:sz="4" w:space="0" w:color="auto"/>
              <w:right w:val="single" w:sz="4" w:space="0" w:color="auto"/>
            </w:tcBorders>
            <w:hideMark/>
          </w:tcPr>
          <w:p w14:paraId="33B98DAC" w14:textId="77777777" w:rsidR="00727BA1" w:rsidRDefault="00727BA1">
            <w:pPr>
              <w:spacing w:line="240" w:lineRule="auto"/>
              <w:jc w:val="both"/>
              <w:rPr>
                <w:rFonts w:ascii="Arial" w:hAnsi="Arial" w:cs="Arial"/>
                <w:b/>
                <w:bCs/>
                <w:sz w:val="24"/>
                <w:szCs w:val="24"/>
              </w:rPr>
            </w:pPr>
            <w:r>
              <w:rPr>
                <w:rFonts w:ascii="Arial" w:hAnsi="Arial" w:cs="Arial"/>
                <w:b/>
                <w:bCs/>
                <w:sz w:val="24"/>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707CBC19" w14:textId="77777777" w:rsidR="00727BA1" w:rsidRDefault="00727BA1">
            <w:pPr>
              <w:spacing w:line="240" w:lineRule="auto"/>
              <w:jc w:val="both"/>
              <w:rPr>
                <w:rFonts w:ascii="Arial" w:hAnsi="Arial" w:cs="Arial"/>
                <w:b/>
                <w:bCs/>
                <w:sz w:val="24"/>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7C490942" w14:textId="77777777" w:rsidR="00727BA1" w:rsidRDefault="00727BA1">
            <w:pPr>
              <w:spacing w:line="240" w:lineRule="auto"/>
              <w:jc w:val="both"/>
              <w:rPr>
                <w:rFonts w:ascii="Arial" w:hAnsi="Arial" w:cs="Arial"/>
                <w:b/>
                <w:bCs/>
                <w:sz w:val="24"/>
                <w:szCs w:val="24"/>
              </w:rPr>
            </w:pPr>
            <w:r>
              <w:rPr>
                <w:rFonts w:ascii="Arial" w:hAnsi="Arial" w:cs="Arial"/>
                <w:b/>
                <w:bCs/>
                <w:sz w:val="20"/>
                <w:szCs w:val="24"/>
              </w:rPr>
              <w:t>REGIDURÍAS DE SUPLENTES</w:t>
            </w:r>
          </w:p>
        </w:tc>
      </w:tr>
      <w:tr w:rsidR="00727BA1" w14:paraId="26664551" w14:textId="77777777" w:rsidTr="00727BA1">
        <w:tc>
          <w:tcPr>
            <w:tcW w:w="816" w:type="dxa"/>
            <w:tcBorders>
              <w:top w:val="single" w:sz="4" w:space="0" w:color="auto"/>
              <w:left w:val="single" w:sz="4" w:space="0" w:color="auto"/>
              <w:bottom w:val="single" w:sz="4" w:space="0" w:color="auto"/>
              <w:right w:val="single" w:sz="4" w:space="0" w:color="auto"/>
            </w:tcBorders>
            <w:hideMark/>
          </w:tcPr>
          <w:p w14:paraId="0F8D2338" w14:textId="77777777" w:rsidR="00727BA1" w:rsidRDefault="00727BA1">
            <w:pPr>
              <w:spacing w:line="240" w:lineRule="auto"/>
              <w:jc w:val="both"/>
              <w:rPr>
                <w:rFonts w:ascii="Arial" w:hAnsi="Arial" w:cs="Arial"/>
                <w:sz w:val="24"/>
                <w:szCs w:val="24"/>
              </w:rPr>
            </w:pPr>
            <w:r>
              <w:rPr>
                <w:rFonts w:ascii="Arial" w:hAnsi="Arial" w:cs="Arial"/>
                <w:sz w:val="24"/>
                <w:szCs w:val="24"/>
              </w:rPr>
              <w:t>4</w:t>
            </w:r>
          </w:p>
        </w:tc>
        <w:tc>
          <w:tcPr>
            <w:tcW w:w="4141" w:type="dxa"/>
            <w:tcBorders>
              <w:top w:val="single" w:sz="4" w:space="0" w:color="auto"/>
              <w:left w:val="single" w:sz="4" w:space="0" w:color="auto"/>
              <w:bottom w:val="single" w:sz="4" w:space="0" w:color="auto"/>
              <w:right w:val="single" w:sz="4" w:space="0" w:color="auto"/>
            </w:tcBorders>
          </w:tcPr>
          <w:p w14:paraId="348CE66C" w14:textId="06FA03EE" w:rsidR="00727BA1" w:rsidRDefault="00DA1FF0">
            <w:pPr>
              <w:spacing w:line="240" w:lineRule="auto"/>
              <w:jc w:val="both"/>
              <w:rPr>
                <w:rFonts w:ascii="Arial" w:hAnsi="Arial" w:cs="Arial"/>
                <w:sz w:val="24"/>
                <w:szCs w:val="24"/>
              </w:rPr>
            </w:pPr>
            <w:r>
              <w:rPr>
                <w:rFonts w:ascii="Arial" w:hAnsi="Arial" w:cs="Arial"/>
                <w:sz w:val="24"/>
                <w:szCs w:val="24"/>
              </w:rPr>
              <w:t>MARIA REYES GREGORIA RAMIREZ ORTIZ</w:t>
            </w:r>
          </w:p>
        </w:tc>
        <w:tc>
          <w:tcPr>
            <w:tcW w:w="3871" w:type="dxa"/>
            <w:tcBorders>
              <w:top w:val="single" w:sz="4" w:space="0" w:color="auto"/>
              <w:left w:val="single" w:sz="4" w:space="0" w:color="auto"/>
              <w:bottom w:val="single" w:sz="4" w:space="0" w:color="auto"/>
              <w:right w:val="single" w:sz="4" w:space="0" w:color="auto"/>
            </w:tcBorders>
          </w:tcPr>
          <w:p w14:paraId="1C70973A" w14:textId="72F25AA9" w:rsidR="00727BA1" w:rsidRDefault="001660AF">
            <w:pPr>
              <w:spacing w:line="240" w:lineRule="auto"/>
              <w:jc w:val="both"/>
              <w:rPr>
                <w:rFonts w:ascii="Arial" w:hAnsi="Arial" w:cs="Arial"/>
                <w:sz w:val="24"/>
                <w:szCs w:val="24"/>
              </w:rPr>
            </w:pPr>
            <w:r>
              <w:rPr>
                <w:rFonts w:ascii="Arial" w:hAnsi="Arial" w:cs="Arial"/>
                <w:sz w:val="24"/>
                <w:szCs w:val="24"/>
              </w:rPr>
              <w:t>MARIA DEL ROSARIO</w:t>
            </w:r>
            <w:r w:rsidR="001E1249">
              <w:rPr>
                <w:rFonts w:ascii="Arial" w:hAnsi="Arial" w:cs="Arial"/>
                <w:sz w:val="24"/>
                <w:szCs w:val="24"/>
              </w:rPr>
              <w:t xml:space="preserve"> PASTRANA PUC</w:t>
            </w:r>
          </w:p>
        </w:tc>
      </w:tr>
      <w:tr w:rsidR="00727BA1" w14:paraId="73404B68" w14:textId="77777777" w:rsidTr="00727BA1">
        <w:tc>
          <w:tcPr>
            <w:tcW w:w="816" w:type="dxa"/>
            <w:tcBorders>
              <w:top w:val="single" w:sz="4" w:space="0" w:color="auto"/>
              <w:left w:val="single" w:sz="4" w:space="0" w:color="auto"/>
              <w:bottom w:val="single" w:sz="4" w:space="0" w:color="auto"/>
              <w:right w:val="single" w:sz="4" w:space="0" w:color="auto"/>
            </w:tcBorders>
            <w:hideMark/>
          </w:tcPr>
          <w:p w14:paraId="3C7E0593" w14:textId="77777777" w:rsidR="00727BA1" w:rsidRDefault="00727BA1">
            <w:pPr>
              <w:spacing w:line="240" w:lineRule="auto"/>
              <w:jc w:val="both"/>
              <w:rPr>
                <w:rFonts w:ascii="Arial" w:hAnsi="Arial" w:cs="Arial"/>
                <w:sz w:val="24"/>
                <w:szCs w:val="24"/>
              </w:rPr>
            </w:pPr>
            <w:r>
              <w:rPr>
                <w:rFonts w:ascii="Arial" w:hAnsi="Arial" w:cs="Arial"/>
                <w:sz w:val="24"/>
                <w:szCs w:val="24"/>
              </w:rPr>
              <w:t>5</w:t>
            </w:r>
          </w:p>
        </w:tc>
        <w:tc>
          <w:tcPr>
            <w:tcW w:w="4141" w:type="dxa"/>
            <w:tcBorders>
              <w:top w:val="single" w:sz="4" w:space="0" w:color="auto"/>
              <w:left w:val="single" w:sz="4" w:space="0" w:color="auto"/>
              <w:bottom w:val="single" w:sz="4" w:space="0" w:color="auto"/>
              <w:right w:val="single" w:sz="4" w:space="0" w:color="auto"/>
            </w:tcBorders>
          </w:tcPr>
          <w:p w14:paraId="49A8A760" w14:textId="4BE5560A" w:rsidR="00727BA1" w:rsidRDefault="00DA1FF0">
            <w:pPr>
              <w:spacing w:line="240" w:lineRule="auto"/>
              <w:jc w:val="both"/>
              <w:rPr>
                <w:rFonts w:ascii="Arial" w:hAnsi="Arial" w:cs="Arial"/>
                <w:sz w:val="24"/>
                <w:szCs w:val="24"/>
              </w:rPr>
            </w:pPr>
            <w:r>
              <w:rPr>
                <w:rFonts w:ascii="Arial" w:hAnsi="Arial" w:cs="Arial"/>
                <w:sz w:val="24"/>
                <w:szCs w:val="24"/>
              </w:rPr>
              <w:t>REYNALDO ESTEBAN GONZALEZ POOT</w:t>
            </w:r>
          </w:p>
        </w:tc>
        <w:tc>
          <w:tcPr>
            <w:tcW w:w="3871" w:type="dxa"/>
            <w:tcBorders>
              <w:top w:val="single" w:sz="4" w:space="0" w:color="auto"/>
              <w:left w:val="single" w:sz="4" w:space="0" w:color="auto"/>
              <w:bottom w:val="single" w:sz="4" w:space="0" w:color="auto"/>
              <w:right w:val="single" w:sz="4" w:space="0" w:color="auto"/>
            </w:tcBorders>
          </w:tcPr>
          <w:p w14:paraId="6629F8F2" w14:textId="4120FF8E" w:rsidR="00727BA1" w:rsidRDefault="00DA1FF0">
            <w:pPr>
              <w:spacing w:line="240" w:lineRule="auto"/>
              <w:jc w:val="both"/>
              <w:rPr>
                <w:rFonts w:ascii="Arial" w:hAnsi="Arial" w:cs="Arial"/>
                <w:sz w:val="24"/>
                <w:szCs w:val="24"/>
              </w:rPr>
            </w:pPr>
            <w:r>
              <w:rPr>
                <w:rFonts w:ascii="Arial" w:hAnsi="Arial" w:cs="Arial"/>
                <w:sz w:val="24"/>
                <w:szCs w:val="24"/>
              </w:rPr>
              <w:t>RAUL CORTEZ Y RUIZ</w:t>
            </w:r>
          </w:p>
        </w:tc>
      </w:tr>
    </w:tbl>
    <w:p w14:paraId="0499B96A" w14:textId="77777777" w:rsidR="00727BA1" w:rsidRDefault="00727BA1" w:rsidP="00727BA1">
      <w:pPr>
        <w:jc w:val="both"/>
        <w:rPr>
          <w:rFonts w:ascii="Arial" w:hAnsi="Arial" w:cs="Arial"/>
          <w:b/>
          <w:bCs/>
          <w:sz w:val="24"/>
          <w:szCs w:val="24"/>
        </w:rPr>
      </w:pPr>
    </w:p>
    <w:p w14:paraId="186AC8E3" w14:textId="77777777" w:rsidR="00727BA1" w:rsidRDefault="00727BA1" w:rsidP="00727BA1">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53A97AD7" w14:textId="77777777" w:rsidR="00727BA1" w:rsidRDefault="00727BA1" w:rsidP="00727BA1">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Pr>
          <w:rFonts w:ascii="Arial" w:hAnsi="Arial" w:cs="Arial"/>
          <w:sz w:val="24"/>
          <w:szCs w:val="24"/>
        </w:rPr>
        <w:t>dos mil veintiuno</w:t>
      </w:r>
      <w:proofErr w:type="gramEnd"/>
      <w:r>
        <w:rPr>
          <w:rFonts w:ascii="Arial" w:hAnsi="Arial" w:cs="Arial"/>
          <w:sz w:val="24"/>
          <w:szCs w:val="24"/>
        </w:rPr>
        <w:t xml:space="preserve"> y concluirá el día dos de junio de dos mil veintiuno, prevenidos que su incumplimiento dará lugar a las sanciones legales correspondientes.</w:t>
      </w:r>
    </w:p>
    <w:p w14:paraId="27DA63CC" w14:textId="77777777" w:rsidR="00727BA1" w:rsidRDefault="00727BA1" w:rsidP="00727BA1">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00334CD9" w14:textId="10502539" w:rsidR="00727BA1" w:rsidRDefault="00727BA1" w:rsidP="00727BA1">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Notifíquese el prese</w:t>
      </w:r>
      <w:r w:rsidR="00DA1FF0">
        <w:rPr>
          <w:rFonts w:ascii="Arial" w:hAnsi="Arial" w:cs="Arial"/>
          <w:sz w:val="24"/>
          <w:szCs w:val="24"/>
        </w:rPr>
        <w:t>nte Acuerdo al Partido Político MORENA</w:t>
      </w:r>
      <w:r>
        <w:rPr>
          <w:rFonts w:ascii="Arial" w:hAnsi="Arial" w:cs="Arial"/>
          <w:sz w:val="24"/>
          <w:szCs w:val="24"/>
        </w:rPr>
        <w:t xml:space="preserve"> para su debido conocimiento.</w:t>
      </w:r>
    </w:p>
    <w:p w14:paraId="4B17DC1A" w14:textId="77777777" w:rsidR="00727BA1" w:rsidRDefault="00727BA1" w:rsidP="00727BA1">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D639EEC" w14:textId="77777777" w:rsidR="00727BA1" w:rsidRDefault="00727BA1" w:rsidP="00727BA1">
      <w:pPr>
        <w:jc w:val="both"/>
        <w:rPr>
          <w:rFonts w:ascii="Arial" w:hAnsi="Arial" w:cs="Arial"/>
          <w:sz w:val="24"/>
          <w:szCs w:val="24"/>
        </w:rPr>
      </w:pPr>
    </w:p>
    <w:p w14:paraId="21D4A4EB" w14:textId="40889BBF" w:rsidR="00727BA1" w:rsidRDefault="00727BA1" w:rsidP="00727BA1">
      <w:pPr>
        <w:jc w:val="both"/>
        <w:rPr>
          <w:rFonts w:ascii="Arial" w:hAnsi="Arial" w:cs="Arial"/>
          <w:sz w:val="24"/>
          <w:szCs w:val="24"/>
        </w:rPr>
      </w:pPr>
      <w:r>
        <w:rPr>
          <w:rFonts w:ascii="Arial" w:hAnsi="Arial" w:cs="Arial"/>
          <w:sz w:val="24"/>
          <w:szCs w:val="24"/>
        </w:rPr>
        <w:lastRenderedPageBreak/>
        <w:t>Este acuerdo fue aprobado en sesión extraordinaria del</w:t>
      </w:r>
      <w:r w:rsidR="00DA1FF0">
        <w:rPr>
          <w:rFonts w:ascii="Arial" w:hAnsi="Arial" w:cs="Arial"/>
          <w:sz w:val="24"/>
          <w:szCs w:val="24"/>
        </w:rPr>
        <w:t xml:space="preserve"> Consejo Electoral Municipal de Dzilam de Bravo Yucatán, celebrada el día Cuatro de Abril de </w:t>
      </w:r>
      <w:proofErr w:type="gramStart"/>
      <w:r w:rsidR="00DA1FF0">
        <w:rPr>
          <w:rFonts w:ascii="Arial" w:hAnsi="Arial" w:cs="Arial"/>
          <w:sz w:val="24"/>
          <w:szCs w:val="24"/>
        </w:rPr>
        <w:t>dos mil veintiuno</w:t>
      </w:r>
      <w:proofErr w:type="gramEnd"/>
      <w:r w:rsidR="00DA1FF0">
        <w:rPr>
          <w:rFonts w:ascii="Arial" w:hAnsi="Arial" w:cs="Arial"/>
          <w:sz w:val="24"/>
          <w:szCs w:val="24"/>
        </w:rPr>
        <w:t>, por Unanimidad</w:t>
      </w:r>
      <w:r>
        <w:rPr>
          <w:rFonts w:ascii="Arial" w:hAnsi="Arial" w:cs="Arial"/>
          <w:sz w:val="24"/>
          <w:szCs w:val="24"/>
        </w:rPr>
        <w:t xml:space="preserve"> votos de los C.C. Cons</w:t>
      </w:r>
      <w:r w:rsidR="00DA1FF0">
        <w:rPr>
          <w:rFonts w:ascii="Arial" w:hAnsi="Arial" w:cs="Arial"/>
          <w:sz w:val="24"/>
          <w:szCs w:val="24"/>
        </w:rPr>
        <w:t>ejeras y Consejeros Electorales C. Bartolo Adalberto Rivero Campos</w:t>
      </w:r>
      <w:r>
        <w:rPr>
          <w:rFonts w:ascii="Arial" w:hAnsi="Arial" w:cs="Arial"/>
          <w:sz w:val="24"/>
          <w:szCs w:val="24"/>
        </w:rPr>
        <w:t>,</w:t>
      </w:r>
      <w:r w:rsidR="00DA1FF0">
        <w:rPr>
          <w:rFonts w:ascii="Arial" w:hAnsi="Arial" w:cs="Arial"/>
          <w:sz w:val="24"/>
          <w:szCs w:val="24"/>
        </w:rPr>
        <w:t xml:space="preserve"> C. José Primitivo Palma </w:t>
      </w:r>
      <w:proofErr w:type="spellStart"/>
      <w:r w:rsidR="00DA1FF0">
        <w:rPr>
          <w:rFonts w:ascii="Arial" w:hAnsi="Arial" w:cs="Arial"/>
          <w:sz w:val="24"/>
          <w:szCs w:val="24"/>
        </w:rPr>
        <w:t>Ramirez</w:t>
      </w:r>
      <w:proofErr w:type="spellEnd"/>
      <w:r w:rsidR="00DA1FF0">
        <w:rPr>
          <w:rFonts w:ascii="Arial" w:hAnsi="Arial" w:cs="Arial"/>
          <w:sz w:val="24"/>
          <w:szCs w:val="24"/>
        </w:rPr>
        <w:t>, C. Franci Guadalupe Euan Cabrillas</w:t>
      </w:r>
      <w:r>
        <w:rPr>
          <w:rFonts w:ascii="Arial" w:hAnsi="Arial" w:cs="Arial"/>
          <w:sz w:val="24"/>
          <w:szCs w:val="24"/>
        </w:rPr>
        <w:t xml:space="preserve"> </w:t>
      </w:r>
    </w:p>
    <w:p w14:paraId="75C79579" w14:textId="77777777" w:rsidR="00727BA1" w:rsidRDefault="00727BA1" w:rsidP="00727BA1">
      <w:pPr>
        <w:jc w:val="both"/>
        <w:rPr>
          <w:rFonts w:ascii="Arial" w:hAnsi="Arial" w:cs="Arial"/>
          <w:sz w:val="24"/>
          <w:szCs w:val="24"/>
        </w:rPr>
      </w:pPr>
    </w:p>
    <w:p w14:paraId="04BE3574" w14:textId="77777777" w:rsidR="00727BA1" w:rsidRDefault="00727BA1" w:rsidP="00727BA1">
      <w:pPr>
        <w:jc w:val="both"/>
        <w:rPr>
          <w:rFonts w:ascii="Arial" w:hAnsi="Arial" w:cs="Arial"/>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27BA1" w14:paraId="7D9A3E4B" w14:textId="77777777" w:rsidTr="00727BA1">
        <w:tc>
          <w:tcPr>
            <w:tcW w:w="4414" w:type="dxa"/>
          </w:tcPr>
          <w:p w14:paraId="1015453C" w14:textId="77777777" w:rsidR="00727BA1" w:rsidRDefault="00727BA1">
            <w:pPr>
              <w:spacing w:line="240" w:lineRule="auto"/>
              <w:jc w:val="both"/>
              <w:rPr>
                <w:rFonts w:ascii="Arial" w:hAnsi="Arial" w:cs="Arial"/>
                <w:sz w:val="24"/>
                <w:szCs w:val="24"/>
              </w:rPr>
            </w:pPr>
          </w:p>
        </w:tc>
        <w:tc>
          <w:tcPr>
            <w:tcW w:w="4414" w:type="dxa"/>
          </w:tcPr>
          <w:p w14:paraId="1B0DDB14" w14:textId="77777777" w:rsidR="00727BA1" w:rsidRDefault="00727BA1">
            <w:pPr>
              <w:spacing w:line="240" w:lineRule="auto"/>
              <w:jc w:val="both"/>
              <w:rPr>
                <w:rFonts w:ascii="Arial" w:hAnsi="Arial" w:cs="Arial"/>
                <w:sz w:val="24"/>
                <w:szCs w:val="24"/>
              </w:rPr>
            </w:pPr>
          </w:p>
        </w:tc>
      </w:tr>
      <w:tr w:rsidR="00727BA1" w14:paraId="58365435" w14:textId="77777777" w:rsidTr="00727BA1">
        <w:trPr>
          <w:trHeight w:val="637"/>
        </w:trPr>
        <w:tc>
          <w:tcPr>
            <w:tcW w:w="4414" w:type="dxa"/>
            <w:hideMark/>
          </w:tcPr>
          <w:p w14:paraId="2154ADA5" w14:textId="0A5E0109" w:rsidR="00727BA1" w:rsidRPr="00DA1FF0" w:rsidRDefault="00DA1FF0">
            <w:pPr>
              <w:spacing w:line="240" w:lineRule="auto"/>
              <w:jc w:val="center"/>
              <w:rPr>
                <w:rFonts w:ascii="Arial" w:hAnsi="Arial" w:cs="Arial"/>
                <w:b/>
                <w:bCs/>
                <w:sz w:val="24"/>
                <w:szCs w:val="24"/>
              </w:rPr>
            </w:pPr>
            <w:r w:rsidRPr="00DA1FF0">
              <w:rPr>
                <w:rFonts w:ascii="Arial" w:hAnsi="Arial" w:cs="Arial"/>
                <w:b/>
                <w:bCs/>
                <w:sz w:val="24"/>
                <w:szCs w:val="24"/>
              </w:rPr>
              <w:t>C. FRANCI GUADALUPE EUAN CABRILLAS</w:t>
            </w:r>
          </w:p>
          <w:p w14:paraId="48966A15" w14:textId="06906EDD" w:rsidR="00727BA1" w:rsidRPr="00DA1FF0" w:rsidRDefault="00DA1FF0">
            <w:pPr>
              <w:spacing w:line="240" w:lineRule="auto"/>
              <w:jc w:val="center"/>
              <w:rPr>
                <w:rFonts w:ascii="Arial" w:hAnsi="Arial" w:cs="Arial"/>
                <w:b/>
                <w:bCs/>
                <w:sz w:val="24"/>
                <w:szCs w:val="24"/>
              </w:rPr>
            </w:pPr>
            <w:proofErr w:type="gramStart"/>
            <w:r w:rsidRPr="00DA1FF0">
              <w:rPr>
                <w:rFonts w:ascii="Arial" w:hAnsi="Arial" w:cs="Arial"/>
                <w:b/>
                <w:bCs/>
                <w:sz w:val="24"/>
                <w:szCs w:val="24"/>
              </w:rPr>
              <w:t xml:space="preserve">Consejera </w:t>
            </w:r>
            <w:r w:rsidR="00727BA1" w:rsidRPr="00DA1FF0">
              <w:rPr>
                <w:rFonts w:ascii="Arial" w:hAnsi="Arial" w:cs="Arial"/>
                <w:b/>
                <w:bCs/>
                <w:sz w:val="24"/>
                <w:szCs w:val="24"/>
              </w:rPr>
              <w:t xml:space="preserve"> Presidente</w:t>
            </w:r>
            <w:proofErr w:type="gramEnd"/>
          </w:p>
        </w:tc>
        <w:tc>
          <w:tcPr>
            <w:tcW w:w="4414" w:type="dxa"/>
            <w:hideMark/>
          </w:tcPr>
          <w:p w14:paraId="4D708AFC" w14:textId="318294FA" w:rsidR="00727BA1" w:rsidRPr="00DA1FF0" w:rsidRDefault="00DA1FF0">
            <w:pPr>
              <w:spacing w:line="240" w:lineRule="auto"/>
              <w:jc w:val="center"/>
              <w:rPr>
                <w:rFonts w:ascii="Arial" w:hAnsi="Arial" w:cs="Arial"/>
                <w:b/>
                <w:bCs/>
                <w:sz w:val="24"/>
                <w:szCs w:val="24"/>
              </w:rPr>
            </w:pPr>
            <w:r w:rsidRPr="00DA1FF0">
              <w:rPr>
                <w:rFonts w:ascii="Arial" w:hAnsi="Arial" w:cs="Arial"/>
                <w:b/>
                <w:bCs/>
                <w:sz w:val="24"/>
                <w:szCs w:val="24"/>
              </w:rPr>
              <w:t xml:space="preserve">C. MARTIN ALEXANDER TORAYA CUPUL </w:t>
            </w:r>
          </w:p>
          <w:p w14:paraId="7190B9D7" w14:textId="6D355777" w:rsidR="00727BA1" w:rsidRPr="00DA1FF0" w:rsidRDefault="00DA1FF0">
            <w:pPr>
              <w:spacing w:line="240" w:lineRule="auto"/>
              <w:jc w:val="center"/>
              <w:rPr>
                <w:rFonts w:ascii="Arial" w:hAnsi="Arial" w:cs="Arial"/>
                <w:b/>
                <w:bCs/>
                <w:sz w:val="24"/>
                <w:szCs w:val="24"/>
              </w:rPr>
            </w:pPr>
            <w:r w:rsidRPr="00DA1FF0">
              <w:rPr>
                <w:rFonts w:ascii="Arial" w:hAnsi="Arial" w:cs="Arial"/>
                <w:b/>
                <w:bCs/>
                <w:sz w:val="24"/>
                <w:szCs w:val="24"/>
              </w:rPr>
              <w:t>Secretario Ejecutivo</w:t>
            </w:r>
          </w:p>
        </w:tc>
      </w:tr>
    </w:tbl>
    <w:p w14:paraId="37494CB2" w14:textId="77777777" w:rsidR="00727BA1" w:rsidRDefault="00727BA1" w:rsidP="00727BA1">
      <w:pPr>
        <w:jc w:val="both"/>
        <w:rPr>
          <w:rFonts w:ascii="Arial" w:hAnsi="Arial" w:cs="Arial"/>
          <w:sz w:val="24"/>
          <w:szCs w:val="24"/>
        </w:rPr>
      </w:pPr>
    </w:p>
    <w:p w14:paraId="23B590ED" w14:textId="77777777" w:rsidR="00F5082D" w:rsidRDefault="00F5082D"/>
    <w:sectPr w:rsidR="00F50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07"/>
    <w:rsid w:val="000D11EA"/>
    <w:rsid w:val="001660AF"/>
    <w:rsid w:val="001E1249"/>
    <w:rsid w:val="002179A5"/>
    <w:rsid w:val="003812B4"/>
    <w:rsid w:val="005449C1"/>
    <w:rsid w:val="00727BA1"/>
    <w:rsid w:val="00852A07"/>
    <w:rsid w:val="009C7C82"/>
    <w:rsid w:val="00DA1FF0"/>
    <w:rsid w:val="00F50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6975"/>
  <w15:chartTrackingRefBased/>
  <w15:docId w15:val="{3F9967B5-EAB0-4683-97BD-E1984804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BA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7B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3427</Words>
  <Characters>18852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10</cp:revision>
  <dcterms:created xsi:type="dcterms:W3CDTF">2021-04-03T19:26:00Z</dcterms:created>
  <dcterms:modified xsi:type="dcterms:W3CDTF">2021-04-04T17:11:00Z</dcterms:modified>
</cp:coreProperties>
</file>