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D1" w:rsidRDefault="00F65B6C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ACUERDO CM</w:t>
      </w:r>
      <w:r w:rsidRPr="002B60E2">
        <w:rPr>
          <w:rStyle w:val="Ninguno"/>
          <w:rFonts w:ascii="Arial" w:hAnsi="Arial"/>
          <w:b/>
          <w:bCs/>
          <w:sz w:val="22"/>
          <w:szCs w:val="22"/>
        </w:rPr>
        <w:t>/</w:t>
      </w:r>
      <w:r w:rsidRPr="002B60E2">
        <w:rPr>
          <w:rStyle w:val="Ninguno"/>
          <w:rFonts w:ascii="Arial" w:hAnsi="Arial"/>
          <w:b/>
          <w:bCs/>
          <w:sz w:val="22"/>
          <w:szCs w:val="22"/>
        </w:rPr>
        <w:t>001</w:t>
      </w:r>
      <w:r>
        <w:rPr>
          <w:rStyle w:val="Ninguno"/>
          <w:rFonts w:ascii="Arial" w:hAnsi="Arial"/>
          <w:b/>
          <w:bCs/>
          <w:sz w:val="22"/>
          <w:szCs w:val="22"/>
        </w:rPr>
        <w:t>/2021</w:t>
      </w:r>
      <w:r w:rsidRPr="002B60E2">
        <w:rPr>
          <w:rStyle w:val="Ninguno"/>
          <w:rFonts w:ascii="Arial" w:hAnsi="Arial"/>
          <w:b/>
          <w:bCs/>
          <w:sz w:val="22"/>
          <w:szCs w:val="22"/>
        </w:rPr>
        <w:t>/</w:t>
      </w:r>
      <w:r w:rsidRPr="002B60E2">
        <w:rPr>
          <w:rStyle w:val="Ninguno"/>
          <w:rFonts w:ascii="Arial" w:hAnsi="Arial"/>
          <w:b/>
          <w:bCs/>
          <w:sz w:val="22"/>
          <w:szCs w:val="22"/>
        </w:rPr>
        <w:t>DZONCAUICH</w:t>
      </w: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ACUERDO DEL CONSEJO MUNICIPAL DE </w:t>
      </w:r>
      <w:r w:rsidR="00CB5219" w:rsidRPr="002B60E2">
        <w:rPr>
          <w:rStyle w:val="Ninguno"/>
          <w:rFonts w:ascii="Arial" w:hAnsi="Arial"/>
          <w:b/>
          <w:bCs/>
          <w:sz w:val="22"/>
          <w:szCs w:val="22"/>
        </w:rPr>
        <w:t>DZONCAUICH</w:t>
      </w:r>
      <w:r w:rsidRPr="002B60E2">
        <w:rPr>
          <w:rStyle w:val="Ninguno"/>
          <w:rFonts w:ascii="Arial" w:hAnsi="Arial"/>
          <w:b/>
          <w:bCs/>
          <w:sz w:val="22"/>
          <w:szCs w:val="22"/>
        </w:rPr>
        <w:t>,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POR EL QUE SE APRUEBAN LAS BASES DEL PROCEDIMIENTO DE DISTRIBUCI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DE LOS ESPACIOS DE USO COM</w:t>
      </w:r>
      <w:r>
        <w:rPr>
          <w:rStyle w:val="Ninguno"/>
          <w:rFonts w:ascii="Arial" w:hAnsi="Arial"/>
          <w:b/>
          <w:bCs/>
          <w:sz w:val="22"/>
          <w:szCs w:val="22"/>
        </w:rPr>
        <w:t>Ú</w:t>
      </w:r>
      <w:r>
        <w:rPr>
          <w:rStyle w:val="Ninguno"/>
          <w:rFonts w:ascii="Arial" w:hAnsi="Arial"/>
          <w:b/>
          <w:bCs/>
          <w:sz w:val="22"/>
          <w:szCs w:val="22"/>
        </w:rPr>
        <w:t>N PARA LA COLOCACI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Y FIJACI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DE LA PROPAGANDA ELECTORAL PARA LA CAMPA</w:t>
      </w:r>
      <w:r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</w:rPr>
        <w:t>A DEL PROCESO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ELECTORAL ORDINARIO 2020-2021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GLOSARIO</w:t>
      </w:r>
    </w:p>
    <w:p w:rsidR="00B11AD1" w:rsidRDefault="00B11AD1">
      <w:pPr>
        <w:jc w:val="center"/>
        <w:rPr>
          <w:rStyle w:val="Ninguno"/>
          <w:rFonts w:ascii="Arial" w:eastAsia="Arial" w:hAnsi="Arial" w:cs="Arial"/>
          <w:b/>
          <w:bCs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CPEUM:</w:t>
      </w:r>
      <w:r>
        <w:rPr>
          <w:rStyle w:val="Ninguno"/>
          <w:rFonts w:ascii="Arial" w:hAnsi="Arial"/>
          <w:i/>
          <w:iCs/>
        </w:rPr>
        <w:t xml:space="preserve"> Constituci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 xml:space="preserve">tica de los Estados Unidos Mexicanos. 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CPEY:</w:t>
      </w:r>
      <w:r>
        <w:rPr>
          <w:rStyle w:val="Ninguno"/>
          <w:rFonts w:ascii="Arial" w:hAnsi="Arial"/>
          <w:i/>
          <w:iCs/>
        </w:rPr>
        <w:t xml:space="preserve"> Constituci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tica del Estado de Yucat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INE:</w:t>
      </w:r>
      <w:r>
        <w:rPr>
          <w:rStyle w:val="Ninguno"/>
          <w:rFonts w:ascii="Arial" w:hAnsi="Arial"/>
          <w:i/>
          <w:iCs/>
        </w:rPr>
        <w:t xml:space="preserve"> Instituto Nacional Electoral.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IEPAC:</w:t>
      </w:r>
      <w:r>
        <w:rPr>
          <w:rStyle w:val="Ninguno"/>
          <w:rFonts w:ascii="Arial" w:hAnsi="Arial"/>
          <w:i/>
          <w:iCs/>
        </w:rPr>
        <w:t xml:space="preserve"> Instituto Electoral y de Participaci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Ciudadana de Yucat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LGIPE:</w:t>
      </w:r>
      <w:r>
        <w:rPr>
          <w:rStyle w:val="Ninguno"/>
          <w:rFonts w:ascii="Arial" w:hAnsi="Arial"/>
          <w:i/>
          <w:iCs/>
        </w:rPr>
        <w:t xml:space="preserve"> Ley General de Instituciones y Procedimientos Electorales.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 xml:space="preserve">LIPEEY: </w:t>
      </w:r>
      <w:r>
        <w:rPr>
          <w:rStyle w:val="Ninguno"/>
          <w:rFonts w:ascii="Arial" w:hAnsi="Arial"/>
          <w:i/>
          <w:iCs/>
        </w:rPr>
        <w:t>Ley de Instituciones y Procedimientos Electorales del Estado de Yucat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LGPP:</w:t>
      </w:r>
      <w:r>
        <w:rPr>
          <w:rStyle w:val="Ninguno"/>
          <w:rFonts w:ascii="Arial" w:hAnsi="Arial"/>
          <w:i/>
          <w:iCs/>
        </w:rPr>
        <w:t xml:space="preserve"> Ley General de Partidos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ticos.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LPPEY:</w:t>
      </w:r>
      <w:r>
        <w:rPr>
          <w:rStyle w:val="Ninguno"/>
          <w:rFonts w:ascii="Arial" w:hAnsi="Arial"/>
          <w:i/>
          <w:iCs/>
        </w:rPr>
        <w:t xml:space="preserve"> Ley de Partidos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ticos del Estado de Yucat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n.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OPL:</w:t>
      </w:r>
      <w:r>
        <w:rPr>
          <w:rStyle w:val="Ninguno"/>
          <w:rFonts w:ascii="Arial" w:hAnsi="Arial"/>
          <w:i/>
          <w:iCs/>
        </w:rPr>
        <w:t xml:space="preserve"> Orga</w:t>
      </w:r>
      <w:r>
        <w:rPr>
          <w:rStyle w:val="Ninguno"/>
          <w:rFonts w:ascii="Arial" w:hAnsi="Arial"/>
          <w:i/>
          <w:iCs/>
        </w:rPr>
        <w:t>nismo P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 xml:space="preserve">blico Local Electoral. 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b/>
          <w:bCs/>
        </w:rPr>
        <w:t>RE:</w:t>
      </w:r>
      <w:r>
        <w:rPr>
          <w:rStyle w:val="Ninguno"/>
          <w:rFonts w:ascii="Arial" w:hAnsi="Arial"/>
          <w:i/>
          <w:iCs/>
        </w:rPr>
        <w:t xml:space="preserve"> Reglamento de Elecciones del Instituto Nacional Electoral.</w:t>
      </w:r>
    </w:p>
    <w:p w:rsidR="00B11AD1" w:rsidRDefault="00B11AD1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B11AD1" w:rsidRDefault="00F65B6C">
      <w:pPr>
        <w:pStyle w:val="Ttulo1"/>
        <w:spacing w:before="0" w:after="0" w:line="276" w:lineRule="auto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ANTECEDENTES</w:t>
      </w: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I.- </w:t>
      </w:r>
      <w:r>
        <w:rPr>
          <w:rStyle w:val="Ninguno"/>
          <w:rFonts w:ascii="Arial" w:hAnsi="Arial"/>
          <w:sz w:val="22"/>
          <w:szCs w:val="22"/>
        </w:rPr>
        <w:t>El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 veintitr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 de mayo del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 dos mil catorce, fue publicado en el Diario Oficial de la Federaci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n, el Decreto por el que se expide la </w:t>
      </w:r>
      <w:r>
        <w:rPr>
          <w:rStyle w:val="Ninguno"/>
          <w:rFonts w:ascii="Arial" w:hAnsi="Arial"/>
          <w:i/>
          <w:iCs/>
          <w:sz w:val="22"/>
          <w:szCs w:val="22"/>
        </w:rPr>
        <w:t>LGIPE</w:t>
      </w:r>
      <w:r>
        <w:rPr>
          <w:rStyle w:val="Ninguno"/>
          <w:rFonts w:ascii="Arial" w:hAnsi="Arial"/>
          <w:sz w:val="22"/>
          <w:szCs w:val="22"/>
        </w:rPr>
        <w:t xml:space="preserve"> y la </w:t>
      </w:r>
      <w:r>
        <w:rPr>
          <w:rStyle w:val="Ninguno"/>
          <w:rFonts w:ascii="Arial" w:hAnsi="Arial"/>
          <w:i/>
          <w:iCs/>
          <w:sz w:val="22"/>
          <w:szCs w:val="22"/>
        </w:rPr>
        <w:t>LGPP.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i/>
          <w:i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II.- </w:t>
      </w:r>
      <w:r>
        <w:rPr>
          <w:rStyle w:val="Ninguno"/>
          <w:rFonts w:ascii="Arial" w:hAnsi="Arial"/>
          <w:sz w:val="22"/>
          <w:szCs w:val="22"/>
        </w:rPr>
        <w:t>El veinte de junio del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 dos mil catorce, fue publicado en el Diario Oficial del Gobierno del Estado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n, el Decreto 195/2014 por el que se modifica la Constituci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del Estado en Materia Electoral; que en su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transit</w:t>
      </w:r>
      <w:r>
        <w:rPr>
          <w:rStyle w:val="Ninguno"/>
          <w:rFonts w:ascii="Arial" w:hAnsi="Arial"/>
          <w:sz w:val="22"/>
          <w:szCs w:val="22"/>
        </w:rPr>
        <w:t>orio d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cimo noveno estableci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que la</w:t>
      </w:r>
      <w:r>
        <w:rPr>
          <w:rStyle w:val="Ninguno"/>
          <w:rFonts w:ascii="Arial" w:hAnsi="Arial"/>
          <w:i/>
          <w:i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celebraci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elecciones locales tendr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lugar el primer domingo de junio del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 que corresponda, en los 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rminos de esta constituci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n, a partir del 2015. 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III.- </w:t>
      </w:r>
      <w:r>
        <w:rPr>
          <w:rStyle w:val="Ninguno"/>
          <w:rFonts w:ascii="Arial" w:hAnsi="Arial"/>
          <w:sz w:val="22"/>
          <w:szCs w:val="22"/>
        </w:rPr>
        <w:t>El treinta y uno de mayo del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o en curso, fue publicado en el Diario Oficial del Gobierno del Estado el Decreto 490/2017, por el que se modifica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 xml:space="preserve">, la </w:t>
      </w:r>
      <w:r>
        <w:rPr>
          <w:rStyle w:val="Ninguno"/>
          <w:rFonts w:ascii="Arial" w:hAnsi="Arial"/>
          <w:i/>
          <w:iCs/>
          <w:sz w:val="22"/>
          <w:szCs w:val="22"/>
        </w:rPr>
        <w:t>Ley de Partidos Pol</w:t>
      </w:r>
      <w:r>
        <w:rPr>
          <w:rStyle w:val="Ninguno"/>
          <w:rFonts w:ascii="Arial" w:hAnsi="Arial"/>
          <w:i/>
          <w:iCs/>
          <w:sz w:val="22"/>
          <w:szCs w:val="22"/>
        </w:rPr>
        <w:t>í</w:t>
      </w:r>
      <w:r>
        <w:rPr>
          <w:rStyle w:val="Ninguno"/>
          <w:rFonts w:ascii="Arial" w:hAnsi="Arial"/>
          <w:i/>
          <w:iCs/>
          <w:sz w:val="22"/>
          <w:szCs w:val="22"/>
        </w:rPr>
        <w:t>ticos del Estado de Yucat</w:t>
      </w:r>
      <w:r>
        <w:rPr>
          <w:rStyle w:val="Ninguno"/>
          <w:rFonts w:ascii="Arial" w:hAnsi="Arial"/>
          <w:i/>
          <w:iCs/>
          <w:sz w:val="22"/>
          <w:szCs w:val="22"/>
        </w:rPr>
        <w:t>á</w:t>
      </w:r>
      <w:r>
        <w:rPr>
          <w:rStyle w:val="Ninguno"/>
          <w:rFonts w:ascii="Arial" w:hAnsi="Arial"/>
          <w:i/>
          <w:i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</w:rPr>
        <w:t xml:space="preserve"> y la </w:t>
      </w:r>
      <w:r>
        <w:rPr>
          <w:rStyle w:val="Ninguno"/>
          <w:rFonts w:ascii="Arial" w:hAnsi="Arial"/>
          <w:i/>
          <w:iCs/>
          <w:sz w:val="22"/>
          <w:szCs w:val="22"/>
        </w:rPr>
        <w:t>Ley del Sistema de Medios de Impugnaci</w:t>
      </w:r>
      <w:r>
        <w:rPr>
          <w:rStyle w:val="Ninguno"/>
          <w:rFonts w:ascii="Arial" w:hAnsi="Arial"/>
          <w:i/>
          <w:iCs/>
          <w:sz w:val="22"/>
          <w:szCs w:val="22"/>
        </w:rPr>
        <w:t>ó</w:t>
      </w:r>
      <w:r>
        <w:rPr>
          <w:rStyle w:val="Ninguno"/>
          <w:rFonts w:ascii="Arial" w:hAnsi="Arial"/>
          <w:i/>
          <w:iCs/>
          <w:sz w:val="22"/>
          <w:szCs w:val="22"/>
        </w:rPr>
        <w:t>n en Materia Electoral del Estado d</w:t>
      </w:r>
      <w:r>
        <w:rPr>
          <w:rStyle w:val="Ninguno"/>
          <w:rFonts w:ascii="Arial" w:hAnsi="Arial"/>
          <w:i/>
          <w:iCs/>
          <w:sz w:val="22"/>
          <w:szCs w:val="22"/>
        </w:rPr>
        <w:t>e Yucat</w:t>
      </w:r>
      <w:r>
        <w:rPr>
          <w:rStyle w:val="Ninguno"/>
          <w:rFonts w:ascii="Arial" w:hAnsi="Arial"/>
          <w:i/>
          <w:iCs/>
          <w:sz w:val="22"/>
          <w:szCs w:val="22"/>
        </w:rPr>
        <w:t>á</w:t>
      </w:r>
      <w:r>
        <w:rPr>
          <w:rStyle w:val="Ninguno"/>
          <w:rFonts w:ascii="Arial" w:hAnsi="Arial"/>
          <w:i/>
          <w:iCs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</w:rPr>
        <w:t>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IV.-</w:t>
      </w:r>
      <w:r>
        <w:rPr>
          <w:rStyle w:val="Ninguno"/>
          <w:rFonts w:ascii="Arial" w:hAnsi="Arial"/>
          <w:sz w:val="22"/>
          <w:szCs w:val="22"/>
        </w:rPr>
        <w:t xml:space="preserve"> El veintinueve de mayo del presente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o, se public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en el Diario Oficial del Gobierno del Estado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el Decreto 225/2020 por el que se le adiciona a la LIPEEY, un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nico transitorio, referente al inicio del Proceso Electoral</w:t>
      </w:r>
      <w:r>
        <w:rPr>
          <w:rStyle w:val="Ninguno"/>
          <w:rFonts w:ascii="Arial" w:hAnsi="Arial"/>
          <w:sz w:val="22"/>
          <w:szCs w:val="22"/>
        </w:rPr>
        <w:t xml:space="preserve"> Ordinario 2020-2021, estableciendo para su inicio la primera semana del mes de noviembre del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 dos mil veinte.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V.-</w:t>
      </w:r>
      <w:r>
        <w:rPr>
          <w:rStyle w:val="Ninguno"/>
          <w:rFonts w:ascii="Arial" w:hAnsi="Arial"/>
          <w:sz w:val="22"/>
          <w:szCs w:val="22"/>
        </w:rPr>
        <w:t xml:space="preserve"> El </w:t>
      </w:r>
      <w:r>
        <w:rPr>
          <w:rStyle w:val="Ninguno"/>
          <w:rFonts w:ascii="Arial" w:hAnsi="Arial"/>
          <w:b/>
          <w:bCs/>
          <w:sz w:val="22"/>
          <w:szCs w:val="22"/>
        </w:rPr>
        <w:t>cuatro de noviembre de dos mil veinte</w:t>
      </w:r>
      <w:r>
        <w:rPr>
          <w:rStyle w:val="Ninguno"/>
          <w:rFonts w:ascii="Arial" w:hAnsi="Arial"/>
          <w:sz w:val="22"/>
          <w:szCs w:val="22"/>
        </w:rPr>
        <w:t>, el Consejo General de este Instituto celebr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la sesi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Declaraci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inicio del Proceso Ele</w:t>
      </w:r>
      <w:r>
        <w:rPr>
          <w:rStyle w:val="Ninguno"/>
          <w:rFonts w:ascii="Arial" w:hAnsi="Arial"/>
          <w:sz w:val="22"/>
          <w:szCs w:val="22"/>
        </w:rPr>
        <w:t>ctoral Ordinario 2020-2021, para elegir a Diputaciones Locales y Regidur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VI.-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gramStart"/>
      <w:r>
        <w:rPr>
          <w:rStyle w:val="Ninguno"/>
          <w:rFonts w:ascii="Arial" w:hAnsi="Arial"/>
          <w:sz w:val="22"/>
          <w:szCs w:val="22"/>
        </w:rPr>
        <w:t xml:space="preserve">El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 w:rsidR="002B60E2">
        <w:rPr>
          <w:rStyle w:val="Ninguno"/>
          <w:rFonts w:ascii="Arial" w:hAnsi="Arial"/>
          <w:b/>
          <w:bCs/>
          <w:sz w:val="22"/>
          <w:szCs w:val="22"/>
        </w:rPr>
        <w:t>22</w:t>
      </w:r>
      <w:proofErr w:type="gramEnd"/>
      <w:r w:rsidR="002B60E2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>de enero de dos mil veintiuno</w:t>
      </w:r>
      <w:r>
        <w:rPr>
          <w:rStyle w:val="Ninguno"/>
          <w:rFonts w:ascii="Arial" w:hAnsi="Arial"/>
          <w:sz w:val="22"/>
          <w:szCs w:val="22"/>
        </w:rPr>
        <w:t>, este Consejo Municipal celebr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su sesi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instalaci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para dar inicio a las actividades del Proceso Electoral Ordinario </w:t>
      </w:r>
      <w:r>
        <w:rPr>
          <w:rStyle w:val="Ninguno"/>
          <w:rFonts w:ascii="Arial" w:hAnsi="Arial"/>
          <w:sz w:val="22"/>
          <w:szCs w:val="22"/>
        </w:rPr>
        <w:t>2020-2021, para elegir las Regidur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 de este municipio.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B11AD1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CONSIDERANDO</w:t>
      </w:r>
    </w:p>
    <w:p w:rsidR="00B11AD1" w:rsidRDefault="00B11AD1">
      <w:pPr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1.- </w:t>
      </w:r>
      <w:r>
        <w:rPr>
          <w:rStyle w:val="Ninguno"/>
          <w:rFonts w:ascii="Arial" w:hAnsi="Arial"/>
          <w:sz w:val="22"/>
          <w:szCs w:val="22"/>
        </w:rPr>
        <w:t>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35 fracciones I y II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 xml:space="preserve">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ala, entre otros, como derechos de los ciudadanos; votar en las elecciones populares; poder ser votado para todos los cargos </w:t>
      </w:r>
      <w:r>
        <w:rPr>
          <w:rStyle w:val="Ninguno"/>
          <w:rFonts w:ascii="Arial" w:hAnsi="Arial"/>
          <w:sz w:val="22"/>
          <w:szCs w:val="22"/>
        </w:rPr>
        <w:t>de 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popular, teniendo las calidades que establezca la ley; as</w:t>
      </w:r>
      <w:r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</w:rPr>
        <w:t>como solicitar su registro como candidatos ante la autoridad electoral de manera independiente, siempre que cumplan con los requisitos, condiciones y 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rminos que determine la legislaci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2.- </w:t>
      </w:r>
      <w:r>
        <w:rPr>
          <w:rStyle w:val="Ninguno"/>
          <w:rFonts w:ascii="Arial" w:hAnsi="Arial"/>
          <w:sz w:val="22"/>
          <w:szCs w:val="22"/>
        </w:rPr>
        <w:t>Que de conformidad con lo que establecen los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culos 39, 40 y 41, primer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rrafo; de la </w:t>
      </w:r>
      <w:r>
        <w:rPr>
          <w:rStyle w:val="Ninguno"/>
          <w:rFonts w:ascii="Arial" w:hAnsi="Arial"/>
          <w:i/>
          <w:iCs/>
          <w:sz w:val="22"/>
          <w:szCs w:val="22"/>
        </w:rPr>
        <w:t>CPEUM,</w:t>
      </w:r>
      <w:r>
        <w:rPr>
          <w:rStyle w:val="Ninguno"/>
          <w:rFonts w:ascii="Arial" w:hAnsi="Arial"/>
          <w:sz w:val="22"/>
          <w:szCs w:val="22"/>
        </w:rPr>
        <w:t xml:space="preserve"> la soberan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 nacional reside esencial y originariamente en el pueblo; es voluntad del pueblo mexicano constituirse en una Rep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blica representativa, de</w:t>
      </w:r>
      <w:r>
        <w:rPr>
          <w:rStyle w:val="Ninguno"/>
          <w:rFonts w:ascii="Arial" w:hAnsi="Arial"/>
          <w:sz w:val="22"/>
          <w:szCs w:val="22"/>
        </w:rPr>
        <w:t>mocr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tica, laica y federal; el pueblo ejerce su soberan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 por medio de los Poderes de la Uni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n, en los casos de la competencia de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stos, y por los de los Estados y la Ciudad de M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xico, en lo que toca a sus reg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menes interiores.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3.-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41, </w:t>
      </w:r>
      <w:r>
        <w:rPr>
          <w:rStyle w:val="Ninguno"/>
          <w:rFonts w:ascii="Arial" w:hAnsi="Arial"/>
          <w:sz w:val="22"/>
          <w:szCs w:val="22"/>
        </w:rPr>
        <w:t>segundo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>, establece que la renovaci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poderes Legislativo y Ejecutivo se realizar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mediante elecciones libres, aut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nticas y peri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dicas.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4.-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41, Base I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>, establece en sus partes conducentes que, los part</w:t>
      </w:r>
      <w:r>
        <w:rPr>
          <w:rStyle w:val="Ninguno"/>
          <w:rFonts w:ascii="Arial" w:hAnsi="Arial"/>
          <w:sz w:val="22"/>
          <w:szCs w:val="22"/>
        </w:rPr>
        <w:t>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son entidades de inter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 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blico; la ley determinar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las normas y requisitos para su registro legal, las formas espec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ficas de su intervenci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en el proceso electoral y los derechos, obligaciones y prerrogativas que les corresponden. </w:t>
      </w:r>
    </w:p>
    <w:p w:rsidR="00B11AD1" w:rsidRDefault="00B11AD1">
      <w:pPr>
        <w:pStyle w:val="Texto"/>
        <w:spacing w:after="0" w:line="240" w:lineRule="auto"/>
        <w:ind w:firstLine="0"/>
        <w:rPr>
          <w:rStyle w:val="Ninguno"/>
          <w:sz w:val="22"/>
          <w:szCs w:val="22"/>
        </w:rPr>
      </w:pPr>
    </w:p>
    <w:p w:rsidR="00B11AD1" w:rsidRDefault="00F65B6C"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p</w:t>
      </w:r>
      <w:r>
        <w:rPr>
          <w:rStyle w:val="Ninguno"/>
          <w:sz w:val="22"/>
          <w:szCs w:val="22"/>
        </w:rPr>
        <w:t>artidos políticos tienen como fin promover la participación del pueblo en la vida democrática, contribuir a la integración de los órganos de representación política y como organizaciones de ciudadanos, hacer posible el acceso de éstos al ejercicio del pode</w:t>
      </w:r>
      <w:r>
        <w:rPr>
          <w:rStyle w:val="Ninguno"/>
          <w:sz w:val="22"/>
          <w:szCs w:val="22"/>
        </w:rPr>
        <w:t xml:space="preserve">r público, de acuerdo con los programas, principios e ideas que postulan y mediante el sufragio universal, libre, secreto y directo, así como las reglas para garantizar la paridad entre los géneros, en candidaturas a legisladores federales y locales. Sólo </w:t>
      </w:r>
      <w:r>
        <w:rPr>
          <w:rStyle w:val="Ninguno"/>
          <w:sz w:val="22"/>
          <w:szCs w:val="22"/>
        </w:rPr>
        <w:t>los ciudadanos podrán formar partidos políticos y afiliarse libre e individualmente a ellos; por tanto, quedan prohibidas la intervención de organizaciones gremiales o con objeto social diferente en la creación de partidos y cualquier forma de afiliación c</w:t>
      </w:r>
      <w:r>
        <w:rPr>
          <w:rStyle w:val="Ninguno"/>
          <w:sz w:val="22"/>
          <w:szCs w:val="22"/>
        </w:rPr>
        <w:t>orporativa.</w:t>
      </w:r>
    </w:p>
    <w:p w:rsidR="00B11AD1" w:rsidRDefault="00B11AD1"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</w:p>
    <w:p w:rsidR="00B11AD1" w:rsidRDefault="00F65B6C">
      <w:pPr>
        <w:pStyle w:val="Texto"/>
        <w:spacing w:after="0" w:line="276" w:lineRule="auto"/>
        <w:ind w:firstLine="0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5.-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41, Base II, primer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rrafo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>, establece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que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la ley garantizar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que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nacionales cuenten de manera equitativa con elementos para llevar a cabo sus actividades y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alar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las reglas a que se sujetar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el financiamiento de los propios partidos y sus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electorales, debiendo garantizar que los recursos 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blicos preva</w:t>
      </w:r>
      <w:r>
        <w:rPr>
          <w:rStyle w:val="Ninguno"/>
          <w:rFonts w:ascii="Arial" w:hAnsi="Arial"/>
          <w:sz w:val="22"/>
          <w:szCs w:val="22"/>
        </w:rPr>
        <w:t>lezcan sobre los de origen privado.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Asimismo, en el inciso c) segundo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rrafo de la base antes citada,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ala que la ley fijar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los 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mites a las erogaciones en los procesos internos de selecci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candidatos y en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as electorales. La propia ley </w:t>
      </w:r>
      <w:r>
        <w:rPr>
          <w:rStyle w:val="Ninguno"/>
          <w:rFonts w:ascii="Arial" w:hAnsi="Arial"/>
          <w:sz w:val="22"/>
          <w:szCs w:val="22"/>
        </w:rPr>
        <w:t>establecer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el monto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ximo que tendr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las aportaciones de sus militantes y simpatizantes; ordenar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los procedimientos para el control, fiscalizaci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oportuna y vigilancia, durante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a, del origen y uso de todos los recursos con que cuenten; asimis</w:t>
      </w:r>
      <w:r>
        <w:rPr>
          <w:rStyle w:val="Ninguno"/>
          <w:rFonts w:ascii="Arial" w:hAnsi="Arial"/>
          <w:sz w:val="22"/>
          <w:szCs w:val="22"/>
        </w:rPr>
        <w:t>mo, dispondr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las sanciones que deban imponerse por el incumplimiento de estas disposiciones.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lastRenderedPageBreak/>
        <w:t>6.-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41, Base III, Apartado C,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>, establece que en la propaganda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tica o electoral que difundan los partidos y candidatos deber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</w:rPr>
        <w:t>abstenerse de expresiones que calumnien a las personas.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Durante el tiempo que comprendan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 federales y locales y hasta la conclusi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respectiva jornada comicial, deber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suspenderse la difusi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en los medios de comunicaci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</w:t>
      </w:r>
      <w:r>
        <w:rPr>
          <w:rStyle w:val="Ninguno"/>
          <w:rFonts w:ascii="Arial" w:hAnsi="Arial"/>
          <w:sz w:val="22"/>
          <w:szCs w:val="22"/>
        </w:rPr>
        <w:t>social de toda propaganda gubernamental, tanto de los poderes federales, como de las entidades federativas, as</w:t>
      </w:r>
      <w:r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</w:rPr>
        <w:t>como de los Municipios, de las demarcaciones territoriales de la Ciudad de M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xico y cualquier otro ente 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blico. Las 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nicas excepciones a lo ant</w:t>
      </w:r>
      <w:r>
        <w:rPr>
          <w:rStyle w:val="Ninguno"/>
          <w:rFonts w:ascii="Arial" w:hAnsi="Arial"/>
          <w:sz w:val="22"/>
          <w:szCs w:val="22"/>
        </w:rPr>
        <w:t>erior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de informaci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autoridades electorales, las relativas a servicios educativos y de salud, o las necesarias para la protecci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civil en casos de emergencia.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7.-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41, Base IV de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>, indica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que la Ley estab</w:t>
      </w:r>
      <w:r>
        <w:rPr>
          <w:rStyle w:val="Ninguno"/>
          <w:rFonts w:ascii="Arial" w:hAnsi="Arial"/>
          <w:sz w:val="22"/>
          <w:szCs w:val="22"/>
        </w:rPr>
        <w:t>lecer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los requisitos y las formas de realizaci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procesos de selecci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postulaci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candidatos a cargos de 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popular, as</w:t>
      </w:r>
      <w:r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</w:rPr>
        <w:t>como las reglas para las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y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La duraci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en 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 xml:space="preserve">o de </w:t>
      </w:r>
      <w:r>
        <w:rPr>
          <w:rStyle w:val="Ninguno"/>
          <w:rFonts w:ascii="Arial" w:hAnsi="Arial"/>
          <w:sz w:val="22"/>
          <w:szCs w:val="22"/>
        </w:rPr>
        <w:t>elecciones para Presidente de la Rep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blica, senadores y diputados federales ser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de noventa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as; en el 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 en que s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lo se elijan diputados federales,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durar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sesenta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as. En ning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caso las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exceder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las dos terceras partes del t</w:t>
      </w:r>
      <w:r>
        <w:rPr>
          <w:rStyle w:val="Ninguno"/>
          <w:rFonts w:ascii="Arial" w:hAnsi="Arial"/>
          <w:sz w:val="22"/>
          <w:szCs w:val="22"/>
        </w:rPr>
        <w:t>iempo previsto para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La violaci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 estas disposiciones por los partidos o cualquier otra persona f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sica o moral ser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sancionada conforme a la ley.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8.-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16, Apartado D, de la </w:t>
      </w:r>
      <w:r>
        <w:rPr>
          <w:rStyle w:val="Ninguno"/>
          <w:rFonts w:ascii="Arial" w:hAnsi="Arial"/>
          <w:i/>
          <w:iCs/>
          <w:sz w:val="22"/>
          <w:szCs w:val="22"/>
        </w:rPr>
        <w:t>CPEY</w:t>
      </w:r>
      <w:r>
        <w:rPr>
          <w:rStyle w:val="Ninguno"/>
          <w:rFonts w:ascii="Arial" w:hAnsi="Arial"/>
          <w:sz w:val="22"/>
          <w:szCs w:val="22"/>
        </w:rPr>
        <w:t>, indica que la ley establecer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las</w:t>
      </w:r>
      <w:r>
        <w:rPr>
          <w:rStyle w:val="Ninguno"/>
          <w:rFonts w:ascii="Arial" w:hAnsi="Arial"/>
          <w:sz w:val="22"/>
          <w:szCs w:val="22"/>
        </w:rPr>
        <w:t xml:space="preserve"> reglas para el desarrollo de las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y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 de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ticos, as</w:t>
      </w:r>
      <w:r>
        <w:rPr>
          <w:rStyle w:val="Ninguno"/>
          <w:rFonts w:ascii="Arial" w:hAnsi="Arial"/>
          <w:sz w:val="22"/>
          <w:szCs w:val="22"/>
        </w:rPr>
        <w:t xml:space="preserve">í </w:t>
      </w:r>
      <w:r>
        <w:rPr>
          <w:rStyle w:val="Ninguno"/>
          <w:rFonts w:ascii="Arial" w:hAnsi="Arial"/>
          <w:sz w:val="22"/>
          <w:szCs w:val="22"/>
        </w:rPr>
        <w:t>como las sanciones para quienes las infrinjan. La duraci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ser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de sesenta a noventa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 para la 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de gobernador y de treinta a </w:t>
      </w:r>
      <w:r>
        <w:rPr>
          <w:rStyle w:val="Ninguno"/>
          <w:rFonts w:ascii="Arial" w:hAnsi="Arial"/>
          <w:sz w:val="22"/>
          <w:szCs w:val="22"/>
        </w:rPr>
        <w:t>sesenta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 cuando s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lo se elijan diputados locales o ayuntamientos; las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no podr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durar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s de las dos terceras partes de las respectivas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9.-</w:t>
      </w:r>
      <w:r>
        <w:rPr>
          <w:rStyle w:val="Ninguno"/>
          <w:rFonts w:ascii="Arial" w:hAnsi="Arial"/>
          <w:sz w:val="22"/>
          <w:szCs w:val="22"/>
        </w:rPr>
        <w:t xml:space="preserve"> 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16, Apartado E, de la </w:t>
      </w:r>
      <w:r>
        <w:rPr>
          <w:rStyle w:val="Ninguno"/>
          <w:rFonts w:ascii="Arial" w:hAnsi="Arial"/>
          <w:i/>
          <w:iCs/>
          <w:sz w:val="22"/>
          <w:szCs w:val="22"/>
        </w:rPr>
        <w:t>CPEY</w:t>
      </w:r>
      <w:r>
        <w:rPr>
          <w:rStyle w:val="Ninguno"/>
          <w:rFonts w:ascii="Arial" w:hAnsi="Arial"/>
          <w:sz w:val="22"/>
          <w:szCs w:val="22"/>
        </w:rPr>
        <w:t>, entre otros supuestos, indica que</w:t>
      </w:r>
      <w:r>
        <w:rPr>
          <w:rStyle w:val="Ninguno"/>
          <w:rFonts w:ascii="Arial" w:hAnsi="Arial"/>
          <w:sz w:val="22"/>
          <w:szCs w:val="22"/>
        </w:rPr>
        <w:t xml:space="preserve"> la organizaci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elecciones es una funci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estatal que se realiza a trav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 de un organismo p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blico especializado, aut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nomo y profesional en su desempe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o, denominado Instituto Electoral y de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n, en los 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rminos previst</w:t>
      </w:r>
      <w:r>
        <w:rPr>
          <w:rStyle w:val="Ninguno"/>
          <w:rFonts w:ascii="Arial" w:hAnsi="Arial"/>
          <w:sz w:val="22"/>
          <w:szCs w:val="22"/>
        </w:rPr>
        <w:t xml:space="preserve">os en la </w:t>
      </w:r>
      <w:r>
        <w:rPr>
          <w:rStyle w:val="Ninguno"/>
          <w:rFonts w:ascii="Arial" w:hAnsi="Arial"/>
          <w:i/>
          <w:iCs/>
          <w:sz w:val="22"/>
          <w:szCs w:val="22"/>
        </w:rPr>
        <w:t>CPEUM</w:t>
      </w:r>
      <w:r>
        <w:rPr>
          <w:rStyle w:val="Ninguno"/>
          <w:rFonts w:ascii="Arial" w:hAnsi="Arial"/>
          <w:sz w:val="22"/>
          <w:szCs w:val="22"/>
        </w:rPr>
        <w:t xml:space="preserve"> y la propia Constituci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Local. En el ejercicio de esa funci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principios rectores la certeza, imparcialidad, independencia, legalidad, 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xima publicidad, objetividad y profesionalizaci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10.- </w:t>
      </w:r>
      <w:r>
        <w:rPr>
          <w:rStyle w:val="Ninguno"/>
          <w:rFonts w:ascii="Arial" w:hAnsi="Arial"/>
          <w:sz w:val="22"/>
          <w:szCs w:val="22"/>
        </w:rPr>
        <w:t>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4 de la </w:t>
      </w:r>
      <w:r>
        <w:rPr>
          <w:rStyle w:val="Ninguno"/>
          <w:rFonts w:ascii="Arial" w:hAnsi="Arial"/>
          <w:i/>
          <w:iCs/>
          <w:sz w:val="22"/>
          <w:szCs w:val="22"/>
        </w:rPr>
        <w:t xml:space="preserve">LIPEEY, </w:t>
      </w:r>
      <w:r>
        <w:rPr>
          <w:rStyle w:val="Ninguno"/>
          <w:rFonts w:ascii="Arial" w:hAnsi="Arial"/>
          <w:sz w:val="22"/>
          <w:szCs w:val="22"/>
        </w:rPr>
        <w:t>establece q</w:t>
      </w:r>
      <w:r>
        <w:rPr>
          <w:rStyle w:val="Ninguno"/>
          <w:rFonts w:ascii="Arial" w:hAnsi="Arial"/>
          <w:sz w:val="22"/>
          <w:szCs w:val="22"/>
        </w:rPr>
        <w:t>ue la aplicaci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de las normas de dicha Ley corresponde, en sus respectivos 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mbitos de competencia: al IEPAC, al Tribunal y al Congreso; y que la interpretaci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esta Ley se har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conforme a los criterios gramatical, sistem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tico y funcional. A falta de </w:t>
      </w:r>
      <w:r>
        <w:rPr>
          <w:rStyle w:val="Ninguno"/>
          <w:rFonts w:ascii="Arial" w:hAnsi="Arial"/>
          <w:sz w:val="22"/>
          <w:szCs w:val="22"/>
        </w:rPr>
        <w:t>disposici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expresa, se aplicar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 los principios generales del derecho con base en lo dispuesto en el 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ltimo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rrafo del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 14 de la Constituci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Federal.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11.- </w:t>
      </w:r>
      <w:r>
        <w:rPr>
          <w:rStyle w:val="Ninguno"/>
          <w:rFonts w:ascii="Arial" w:hAnsi="Arial"/>
          <w:sz w:val="22"/>
          <w:szCs w:val="22"/>
        </w:rPr>
        <w:t>Que el segundo p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rrafo del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11 de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>, dispone que, en las elecciones ordin</w:t>
      </w:r>
      <w:r>
        <w:rPr>
          <w:rStyle w:val="Ninguno"/>
          <w:rFonts w:ascii="Arial" w:hAnsi="Arial"/>
          <w:sz w:val="22"/>
          <w:szCs w:val="22"/>
        </w:rPr>
        <w:t>arias, el Consejo General del Instituto podr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, por causa justificada o de fuerza mayor, ampliar y adecuar los plazos que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ala esta Ley, debiendo publicarse el acuerdo correspondiente en el Diario Oficial del Gobierno del Estado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n, para que surta</w:t>
      </w:r>
      <w:r>
        <w:rPr>
          <w:rStyle w:val="Ninguno"/>
          <w:rFonts w:ascii="Arial" w:hAnsi="Arial"/>
          <w:sz w:val="22"/>
          <w:szCs w:val="22"/>
        </w:rPr>
        <w:t xml:space="preserve"> sus efectos.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12.- </w:t>
      </w:r>
      <w:r>
        <w:rPr>
          <w:rStyle w:val="Ninguno"/>
          <w:rFonts w:ascii="Arial" w:hAnsi="Arial"/>
          <w:sz w:val="22"/>
          <w:szCs w:val="22"/>
        </w:rPr>
        <w:t>Que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103 de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>, dispone que la organizaci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elecciones locales es una funci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estatal que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se realiza con la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y los ciudadanos, en los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t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rminos de la Constituci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de esa L</w:t>
      </w:r>
      <w:r>
        <w:rPr>
          <w:rStyle w:val="Ninguno"/>
          <w:rFonts w:ascii="Arial" w:hAnsi="Arial"/>
          <w:sz w:val="22"/>
          <w:szCs w:val="22"/>
        </w:rPr>
        <w:t>ey y de los dem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s ordenamientos aplicables.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13.- </w:t>
      </w:r>
      <w:r>
        <w:rPr>
          <w:rStyle w:val="Ninguno"/>
          <w:rFonts w:ascii="Arial" w:hAnsi="Arial"/>
          <w:sz w:val="22"/>
          <w:szCs w:val="22"/>
        </w:rPr>
        <w:t>Que mediante el acuerdo CG.-020/2020 del Consejo General del Instituto, se estableci</w:t>
      </w:r>
      <w:r>
        <w:rPr>
          <w:rStyle w:val="Ninguno"/>
          <w:rFonts w:ascii="Arial" w:hAnsi="Arial"/>
          <w:sz w:val="22"/>
          <w:szCs w:val="22"/>
        </w:rPr>
        <w:t xml:space="preserve">ó </w:t>
      </w:r>
      <w:r>
        <w:rPr>
          <w:rStyle w:val="Ninguno"/>
          <w:rFonts w:ascii="Arial" w:hAnsi="Arial"/>
          <w:sz w:val="22"/>
          <w:szCs w:val="22"/>
        </w:rPr>
        <w:t>el plazo de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para este Proceso Electoral Ordinario con una duraci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55 d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as para los dos tipos de elecci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n; teniendo como resultado lo siguiente: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756"/>
        <w:gridCol w:w="3108"/>
      </w:tblGrid>
      <w:tr w:rsidR="00B11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 DE REPRESENTACI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 POPULAR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DURACI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 DE CAMPA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Ñ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PER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ODO DE CAMPA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Ñ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AS</w:t>
            </w:r>
          </w:p>
        </w:tc>
      </w:tr>
      <w:tr w:rsidR="00B11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0"/>
                <w:szCs w:val="20"/>
              </w:rPr>
              <w:t>DIPUTACIONES</w:t>
            </w:r>
          </w:p>
        </w:tc>
        <w:tc>
          <w:tcPr>
            <w:tcW w:w="1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55 d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as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Inicio: 09 de abril de 2021</w:t>
            </w:r>
          </w:p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T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rmino: 02 de junio de 2021</w:t>
            </w:r>
          </w:p>
        </w:tc>
      </w:tr>
      <w:tr w:rsidR="00B11A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  <w:jc w:val="center"/>
        </w:trPr>
        <w:tc>
          <w:tcPr>
            <w:tcW w:w="3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AD1" w:rsidRDefault="00F65B6C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0"/>
                <w:szCs w:val="20"/>
              </w:rPr>
              <w:t>REGIDUR</w:t>
            </w:r>
            <w:r>
              <w:rPr>
                <w:rStyle w:val="Ninguno"/>
                <w:rFonts w:ascii="Arial" w:hAnsi="Arial"/>
                <w:i/>
                <w:iCs/>
                <w:sz w:val="20"/>
                <w:szCs w:val="20"/>
              </w:rPr>
              <w:t>Í</w:t>
            </w:r>
            <w:r>
              <w:rPr>
                <w:rStyle w:val="Ninguno"/>
                <w:rFonts w:ascii="Arial" w:hAnsi="Arial"/>
                <w:i/>
                <w:iCs/>
                <w:sz w:val="20"/>
                <w:szCs w:val="20"/>
              </w:rPr>
              <w:t>AS DE LOS 106 AYUNTAMIENTOS DEL ESTADO</w:t>
            </w:r>
          </w:p>
        </w:tc>
        <w:tc>
          <w:tcPr>
            <w:tcW w:w="1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AD1" w:rsidRDefault="00B11AD1"/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AD1" w:rsidRDefault="00B11AD1"/>
        </w:tc>
      </w:tr>
    </w:tbl>
    <w:p w:rsidR="00B11AD1" w:rsidRDefault="00B11AD1">
      <w:pPr>
        <w:widowControl w:val="0"/>
        <w:jc w:val="center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14.- </w:t>
      </w:r>
      <w:r>
        <w:rPr>
          <w:rStyle w:val="Ninguno"/>
          <w:rFonts w:ascii="Arial" w:hAnsi="Arial"/>
          <w:sz w:val="22"/>
          <w:szCs w:val="22"/>
        </w:rPr>
        <w:t xml:space="preserve">Que </w:t>
      </w:r>
      <w:r>
        <w:rPr>
          <w:rStyle w:val="Ninguno"/>
          <w:rFonts w:ascii="Arial" w:hAnsi="Arial"/>
          <w:sz w:val="22"/>
          <w:szCs w:val="22"/>
        </w:rPr>
        <w:t>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culo 230 de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 xml:space="preserve">, establece </w:t>
      </w:r>
      <w:proofErr w:type="gramStart"/>
      <w:r>
        <w:rPr>
          <w:rStyle w:val="Ninguno"/>
          <w:rFonts w:ascii="Arial" w:hAnsi="Arial"/>
          <w:sz w:val="22"/>
          <w:szCs w:val="22"/>
        </w:rPr>
        <w:t>que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en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propaganda electoral, tanto en las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como en las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electorales, los partidos y candidatos observar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las reglas siguientes: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  <w:r>
        <w:rPr>
          <w:rStyle w:val="Ninguno"/>
          <w:rFonts w:ascii="Arial" w:hAnsi="Arial"/>
          <w:i/>
          <w:iCs/>
          <w:sz w:val="20"/>
          <w:szCs w:val="20"/>
        </w:rPr>
        <w:t>I. No podr</w:t>
      </w:r>
      <w:r>
        <w:rPr>
          <w:rStyle w:val="Ninguno"/>
          <w:rFonts w:ascii="Arial" w:hAnsi="Arial"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n colocarse, colgarse, fijarse o </w:t>
      </w:r>
      <w:r>
        <w:rPr>
          <w:rStyle w:val="Ninguno"/>
          <w:rFonts w:ascii="Arial" w:hAnsi="Arial"/>
          <w:i/>
          <w:iCs/>
          <w:sz w:val="20"/>
          <w:szCs w:val="20"/>
        </w:rPr>
        <w:t>pintarse en elementos de equipamiento urbano, ni obstaculizar en forma alguna la visibilidad de los se</w:t>
      </w:r>
      <w:r>
        <w:rPr>
          <w:rStyle w:val="Ninguno"/>
          <w:rFonts w:ascii="Arial" w:hAnsi="Arial"/>
          <w:i/>
          <w:iCs/>
          <w:sz w:val="20"/>
          <w:szCs w:val="20"/>
        </w:rPr>
        <w:t>ñ</w:t>
      </w:r>
      <w:r>
        <w:rPr>
          <w:rStyle w:val="Ninguno"/>
          <w:rFonts w:ascii="Arial" w:hAnsi="Arial"/>
          <w:i/>
          <w:iCs/>
          <w:sz w:val="20"/>
          <w:szCs w:val="20"/>
        </w:rPr>
        <w:t>alamientos que permitan a las personas transitar y orientarse dentro de los centros de poblaci</w:t>
      </w:r>
      <w:r>
        <w:rPr>
          <w:rStyle w:val="Ninguno"/>
          <w:rFonts w:ascii="Arial" w:hAnsi="Arial"/>
          <w:i/>
          <w:iCs/>
          <w:sz w:val="20"/>
          <w:szCs w:val="20"/>
        </w:rPr>
        <w:t>ó</w:t>
      </w:r>
      <w:r>
        <w:rPr>
          <w:rStyle w:val="Ninguno"/>
          <w:rFonts w:ascii="Arial" w:hAnsi="Arial"/>
          <w:i/>
          <w:iCs/>
          <w:sz w:val="20"/>
          <w:szCs w:val="20"/>
        </w:rPr>
        <w:t>n. Las autoridades electorales competentes ordenar</w:t>
      </w:r>
      <w:r>
        <w:rPr>
          <w:rStyle w:val="Ninguno"/>
          <w:rFonts w:ascii="Arial" w:hAnsi="Arial"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</w:rPr>
        <w:t>n el re</w:t>
      </w:r>
      <w:r>
        <w:rPr>
          <w:rStyle w:val="Ninguno"/>
          <w:rFonts w:ascii="Arial" w:hAnsi="Arial"/>
          <w:i/>
          <w:iCs/>
          <w:sz w:val="20"/>
          <w:szCs w:val="20"/>
        </w:rPr>
        <w:t>tiro de la propaganda electoral contraria a esta norma;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  <w:r>
        <w:rPr>
          <w:rStyle w:val="Ninguno"/>
          <w:rFonts w:ascii="Arial" w:hAnsi="Arial"/>
          <w:i/>
          <w:iCs/>
          <w:sz w:val="20"/>
          <w:szCs w:val="20"/>
        </w:rPr>
        <w:t>II. Podr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á </w:t>
      </w:r>
      <w:r>
        <w:rPr>
          <w:rStyle w:val="Ninguno"/>
          <w:rFonts w:ascii="Arial" w:hAnsi="Arial"/>
          <w:i/>
          <w:iCs/>
          <w:sz w:val="20"/>
          <w:szCs w:val="20"/>
        </w:rPr>
        <w:t>colgarse o fijarse en inmuebles de propiedad privada siempre que medie permiso escrito del propietario;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III. Podr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á 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colgarse o fijarse en los lugares de uso com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ú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que determinen los consejo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s municipales, previo acuerdo con las autoridades correspondientes.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Los lugares de uso com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ú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ser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repartidos por sorteo en forma equitativa de conformidad a lo que corresponda a los partidos pol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í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ticos registrados, conforme al procedimiento acordado en la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 sesi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del Consejo Electoral Municipal que celebre en diciembre del a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ñ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o previo al de la elecci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ó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  <w:r>
        <w:rPr>
          <w:rStyle w:val="Ninguno"/>
          <w:rFonts w:ascii="Arial" w:hAnsi="Arial"/>
          <w:i/>
          <w:iCs/>
          <w:sz w:val="20"/>
          <w:szCs w:val="20"/>
        </w:rPr>
        <w:t>IV. No podr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á 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fijarse o pintarse en </w:t>
      </w:r>
      <w:r>
        <w:rPr>
          <w:rStyle w:val="Ninguno"/>
          <w:rFonts w:ascii="Arial" w:hAnsi="Arial"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</w:rPr>
        <w:t>rboles, elementos de equipamiento urbano, carretero o ferroviario, ni en accidentes geogr</w:t>
      </w:r>
      <w:r>
        <w:rPr>
          <w:rStyle w:val="Ninguno"/>
          <w:rFonts w:ascii="Arial" w:hAnsi="Arial"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</w:rPr>
        <w:t>ficos cualquiera que sea su r</w:t>
      </w:r>
      <w:r>
        <w:rPr>
          <w:rStyle w:val="Ninguno"/>
          <w:rFonts w:ascii="Arial" w:hAnsi="Arial"/>
          <w:i/>
          <w:iCs/>
          <w:sz w:val="20"/>
          <w:szCs w:val="20"/>
        </w:rPr>
        <w:t>é</w:t>
      </w:r>
      <w:r>
        <w:rPr>
          <w:rStyle w:val="Ninguno"/>
          <w:rFonts w:ascii="Arial" w:hAnsi="Arial"/>
          <w:i/>
          <w:iCs/>
          <w:sz w:val="20"/>
          <w:szCs w:val="20"/>
        </w:rPr>
        <w:t>gimen jur</w:t>
      </w:r>
      <w:r>
        <w:rPr>
          <w:rStyle w:val="Ninguno"/>
          <w:rFonts w:ascii="Arial" w:hAnsi="Arial"/>
          <w:i/>
          <w:iCs/>
          <w:sz w:val="20"/>
          <w:szCs w:val="20"/>
        </w:rPr>
        <w:t>í</w:t>
      </w:r>
      <w:r>
        <w:rPr>
          <w:rStyle w:val="Ninguno"/>
          <w:rFonts w:ascii="Arial" w:hAnsi="Arial"/>
          <w:i/>
          <w:iCs/>
          <w:sz w:val="20"/>
          <w:szCs w:val="20"/>
        </w:rPr>
        <w:t>dico, y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  <w:r>
        <w:rPr>
          <w:rStyle w:val="Ninguno"/>
          <w:rFonts w:ascii="Arial" w:hAnsi="Arial"/>
          <w:i/>
          <w:iCs/>
          <w:sz w:val="20"/>
          <w:szCs w:val="20"/>
        </w:rPr>
        <w:t>V. No podr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á </w:t>
      </w:r>
      <w:r>
        <w:rPr>
          <w:rStyle w:val="Ninguno"/>
          <w:rFonts w:ascii="Arial" w:hAnsi="Arial"/>
          <w:i/>
          <w:iCs/>
          <w:sz w:val="20"/>
          <w:szCs w:val="20"/>
        </w:rPr>
        <w:t>colgarse, fijarse, pintarse ni distribuirse propaganda electoral de ning</w:t>
      </w:r>
      <w:r>
        <w:rPr>
          <w:rStyle w:val="Ninguno"/>
          <w:rFonts w:ascii="Arial" w:hAnsi="Arial"/>
          <w:i/>
          <w:iCs/>
          <w:sz w:val="20"/>
          <w:szCs w:val="20"/>
        </w:rPr>
        <w:t>ú</w:t>
      </w:r>
      <w:r>
        <w:rPr>
          <w:rStyle w:val="Ninguno"/>
          <w:rFonts w:ascii="Arial" w:hAnsi="Arial"/>
          <w:i/>
          <w:iCs/>
          <w:sz w:val="20"/>
          <w:szCs w:val="20"/>
        </w:rPr>
        <w:t>n tipo en monumentos ni en oficinas, edificios y locales ocupados por la administraci</w:t>
      </w:r>
      <w:r>
        <w:rPr>
          <w:rStyle w:val="Ninguno"/>
          <w:rFonts w:ascii="Arial" w:hAnsi="Arial"/>
          <w:i/>
          <w:iCs/>
          <w:sz w:val="20"/>
          <w:szCs w:val="20"/>
        </w:rPr>
        <w:t>ó</w:t>
      </w:r>
      <w:r>
        <w:rPr>
          <w:rStyle w:val="Ninguno"/>
          <w:rFonts w:ascii="Arial" w:hAnsi="Arial"/>
          <w:i/>
          <w:iCs/>
          <w:sz w:val="20"/>
          <w:szCs w:val="20"/>
        </w:rPr>
        <w:t>n y los poderes p</w:t>
      </w:r>
      <w:r>
        <w:rPr>
          <w:rStyle w:val="Ninguno"/>
          <w:rFonts w:ascii="Arial" w:hAnsi="Arial"/>
          <w:i/>
          <w:iCs/>
          <w:sz w:val="20"/>
          <w:szCs w:val="20"/>
        </w:rPr>
        <w:t>ú</w:t>
      </w:r>
      <w:r>
        <w:rPr>
          <w:rStyle w:val="Ninguno"/>
          <w:rFonts w:ascii="Arial" w:hAnsi="Arial"/>
          <w:i/>
          <w:iCs/>
          <w:sz w:val="20"/>
          <w:szCs w:val="20"/>
        </w:rPr>
        <w:t>blicos, salvo en la concesi</w:t>
      </w:r>
      <w:r>
        <w:rPr>
          <w:rStyle w:val="Ninguno"/>
          <w:rFonts w:ascii="Arial" w:hAnsi="Arial"/>
          <w:i/>
          <w:iCs/>
          <w:sz w:val="20"/>
          <w:szCs w:val="20"/>
        </w:rPr>
        <w:t>ó</w:t>
      </w:r>
      <w:r>
        <w:rPr>
          <w:rStyle w:val="Ninguno"/>
          <w:rFonts w:ascii="Arial" w:hAnsi="Arial"/>
          <w:i/>
          <w:iCs/>
          <w:sz w:val="20"/>
          <w:szCs w:val="20"/>
        </w:rPr>
        <w:t>n del uso de locales</w:t>
      </w:r>
      <w:r>
        <w:rPr>
          <w:rStyle w:val="Ninguno"/>
          <w:rFonts w:ascii="Arial" w:hAnsi="Arial"/>
          <w:i/>
          <w:iCs/>
          <w:sz w:val="20"/>
          <w:szCs w:val="20"/>
        </w:rPr>
        <w:t xml:space="preserve"> p</w:t>
      </w:r>
      <w:r>
        <w:rPr>
          <w:rStyle w:val="Ninguno"/>
          <w:rFonts w:ascii="Arial" w:hAnsi="Arial"/>
          <w:i/>
          <w:iCs/>
          <w:sz w:val="20"/>
          <w:szCs w:val="20"/>
        </w:rPr>
        <w:t>ú</w:t>
      </w:r>
      <w:r>
        <w:rPr>
          <w:rStyle w:val="Ninguno"/>
          <w:rFonts w:ascii="Arial" w:hAnsi="Arial"/>
          <w:i/>
          <w:iCs/>
          <w:sz w:val="20"/>
          <w:szCs w:val="20"/>
        </w:rPr>
        <w:t>blicos a la que se refiere el art</w:t>
      </w:r>
      <w:r>
        <w:rPr>
          <w:rStyle w:val="Ninguno"/>
          <w:rFonts w:ascii="Arial" w:hAnsi="Arial"/>
          <w:i/>
          <w:iCs/>
          <w:sz w:val="20"/>
          <w:szCs w:val="20"/>
        </w:rPr>
        <w:t>í</w:t>
      </w:r>
      <w:r>
        <w:rPr>
          <w:rStyle w:val="Ninguno"/>
          <w:rFonts w:ascii="Arial" w:hAnsi="Arial"/>
          <w:i/>
          <w:iCs/>
          <w:sz w:val="20"/>
          <w:szCs w:val="20"/>
        </w:rPr>
        <w:t>culo 226 de esta ley.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i/>
          <w:iCs/>
          <w:sz w:val="20"/>
          <w:szCs w:val="20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Los consejos electorales correspondientes, dentro del 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mbito de su competencia, velar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por la observancia de estas disposiciones y adoptar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á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>n las medidas a que hubiera lugar con el fin de asegurar</w:t>
      </w:r>
      <w:r>
        <w:rPr>
          <w:rStyle w:val="Ninguno"/>
          <w:rFonts w:ascii="Arial" w:hAnsi="Arial"/>
          <w:b/>
          <w:bCs/>
          <w:i/>
          <w:iCs/>
          <w:sz w:val="20"/>
          <w:szCs w:val="20"/>
        </w:rPr>
        <w:t xml:space="preserve"> a partidos, coaliciones y candidatos el pleno ejercicio de sus derechos en la materia.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15.-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gramStart"/>
      <w:r>
        <w:rPr>
          <w:rStyle w:val="Ninguno"/>
          <w:rFonts w:ascii="Arial" w:hAnsi="Arial"/>
          <w:sz w:val="22"/>
          <w:szCs w:val="22"/>
        </w:rPr>
        <w:t>Que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en virtud de las disposiciones legales establecidas en los preceptos se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alados con antelaci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n, es necesario que el Consejo Municipal de </w:t>
      </w:r>
      <w:proofErr w:type="spellStart"/>
      <w:r w:rsidR="00CB5219" w:rsidRPr="002B60E2"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inguno"/>
          <w:rFonts w:ascii="Arial" w:hAnsi="Arial"/>
          <w:sz w:val="22"/>
          <w:szCs w:val="22"/>
        </w:rPr>
        <w:t>de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este Instituto establezca las bases del procedimiento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para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fijaci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 propaganda electoral para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en el Proceso Electoral Ordinario 2020-2021, tomando como base seg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el art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culo</w:t>
      </w:r>
      <w:r>
        <w:rPr>
          <w:rStyle w:val="Ninguno"/>
          <w:rFonts w:ascii="Arial" w:hAnsi="Arial"/>
          <w:sz w:val="22"/>
          <w:szCs w:val="22"/>
        </w:rPr>
        <w:t xml:space="preserve"> 230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III de la </w:t>
      </w:r>
      <w:r>
        <w:rPr>
          <w:rStyle w:val="Ninguno"/>
          <w:rFonts w:ascii="Arial" w:hAnsi="Arial"/>
          <w:i/>
          <w:iCs/>
          <w:sz w:val="22"/>
          <w:szCs w:val="22"/>
        </w:rPr>
        <w:t>LIPEEY</w:t>
      </w:r>
      <w:r>
        <w:rPr>
          <w:rStyle w:val="Ninguno"/>
          <w:rFonts w:ascii="Arial" w:hAnsi="Arial"/>
          <w:sz w:val="22"/>
          <w:szCs w:val="22"/>
        </w:rPr>
        <w:t>; quedando de la manera siguiente: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PRIMERA. -</w:t>
      </w:r>
      <w:r>
        <w:rPr>
          <w:rStyle w:val="Ninguno"/>
          <w:rFonts w:ascii="Arial" w:hAnsi="Arial"/>
          <w:sz w:val="22"/>
          <w:szCs w:val="22"/>
        </w:rPr>
        <w:t xml:space="preserve"> Todos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n que en su caso sean otorgados por el H. Ayuntamiento de </w:t>
      </w:r>
      <w:proofErr w:type="spellStart"/>
      <w:r w:rsidR="002B60E2" w:rsidRPr="002B60E2"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>,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n,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repartidos entre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registrados ante el Ins</w:t>
      </w:r>
      <w:r>
        <w:rPr>
          <w:rStyle w:val="Ninguno"/>
          <w:rFonts w:ascii="Arial" w:hAnsi="Arial"/>
          <w:sz w:val="22"/>
          <w:szCs w:val="22"/>
        </w:rPr>
        <w:t>tituto Electoral y de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para participar en el Proceso Electoral Ordinario 2020-2021.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SEGUNDA. - </w:t>
      </w:r>
      <w:r>
        <w:rPr>
          <w:rStyle w:val="Ninguno"/>
          <w:rFonts w:ascii="Arial" w:hAnsi="Arial"/>
          <w:sz w:val="22"/>
          <w:szCs w:val="22"/>
        </w:rPr>
        <w:t>Cada espacio de los lugares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repartidos en forma equitativa, de manera que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ticos </w:t>
      </w:r>
      <w:r>
        <w:rPr>
          <w:rStyle w:val="Ninguno"/>
          <w:rFonts w:ascii="Arial" w:hAnsi="Arial"/>
          <w:sz w:val="22"/>
          <w:szCs w:val="22"/>
        </w:rPr>
        <w:t>registrados ante el Instituto Electoral y de Participaci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Ciudadana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tengan por lo menos un espacio en el municipio durante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TERCERA-</w:t>
      </w:r>
      <w:r>
        <w:rPr>
          <w:rStyle w:val="Ninguno"/>
          <w:rFonts w:ascii="Arial" w:hAnsi="Arial"/>
          <w:sz w:val="22"/>
          <w:szCs w:val="22"/>
        </w:rPr>
        <w:t xml:space="preserve"> De los lugares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fueran a ser repartidos, se numerar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cada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sujeta a reparti</w:t>
      </w:r>
      <w:r>
        <w:rPr>
          <w:rStyle w:val="Ninguno"/>
          <w:rFonts w:ascii="Arial" w:hAnsi="Arial"/>
          <w:sz w:val="22"/>
          <w:szCs w:val="22"/>
        </w:rPr>
        <w:t xml:space="preserve">rse, para que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stas puedan ser plenamente identificadas por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ticos, para el periodo de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as electorales.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CUARTA. </w:t>
      </w:r>
      <w:r>
        <w:rPr>
          <w:rStyle w:val="Ninguno"/>
          <w:rFonts w:ascii="Arial" w:hAnsi="Arial"/>
          <w:b/>
          <w:bCs/>
          <w:sz w:val="22"/>
          <w:szCs w:val="22"/>
        </w:rPr>
        <w:t>–</w:t>
      </w:r>
      <w:r>
        <w:rPr>
          <w:rStyle w:val="Ninguno"/>
          <w:rFonts w:ascii="Arial" w:hAnsi="Arial"/>
          <w:sz w:val="22"/>
          <w:szCs w:val="22"/>
        </w:rPr>
        <w:t xml:space="preserve"> Las fracciones referidas en la Base anterior, se representar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en papeletas, las cuales ser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 introducidas en una urna, </w:t>
      </w:r>
      <w:r>
        <w:rPr>
          <w:rStyle w:val="Ninguno"/>
          <w:rFonts w:ascii="Arial" w:hAnsi="Arial"/>
          <w:sz w:val="22"/>
          <w:szCs w:val="22"/>
        </w:rPr>
        <w:t>mismas que los Consejeros Electorales ir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tomando al azar y cuyo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mero extra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do se ira asignando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 seg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corresponda a la prelaci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su inscripci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ante el Consejo General del Instituto. El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mero que conste en la papeleta que se hubi</w:t>
      </w:r>
      <w:r>
        <w:rPr>
          <w:rStyle w:val="Ninguno"/>
          <w:rFonts w:ascii="Arial" w:hAnsi="Arial"/>
          <w:sz w:val="22"/>
          <w:szCs w:val="22"/>
        </w:rPr>
        <w:t>era sacado de la urna ser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el de la fracci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que le corresponda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tico. A continuaci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n, el Consejero Electoral que extrajo la papeleta, dar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lectura en voz alta al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mero contenido en ella, debiendo entregar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 xml:space="preserve">sta al Secretario Ejecutivo del Consejo Municipal de </w:t>
      </w:r>
      <w:proofErr w:type="spellStart"/>
      <w:r w:rsidR="002B60E2" w:rsidRPr="002B60E2"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, para que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ste corrobore el n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mero que le haya correspondido al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tico, y de esta manera determinar el espacio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le corresponda.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QUINTA. - </w:t>
      </w:r>
      <w:r>
        <w:rPr>
          <w:rStyle w:val="Ninguno"/>
          <w:rFonts w:ascii="Arial" w:hAnsi="Arial"/>
          <w:sz w:val="22"/>
          <w:szCs w:val="22"/>
        </w:rPr>
        <w:t>Cuando un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 xml:space="preserve">tico no </w:t>
      </w:r>
      <w:proofErr w:type="gramStart"/>
      <w:r>
        <w:rPr>
          <w:rStyle w:val="Ninguno"/>
          <w:rFonts w:ascii="Arial" w:hAnsi="Arial"/>
          <w:sz w:val="22"/>
          <w:szCs w:val="22"/>
        </w:rPr>
        <w:t>ut</w:t>
      </w:r>
      <w:r>
        <w:rPr>
          <w:rStyle w:val="Ninguno"/>
          <w:rFonts w:ascii="Arial" w:hAnsi="Arial"/>
          <w:sz w:val="22"/>
          <w:szCs w:val="22"/>
        </w:rPr>
        <w:t>ilizara</w:t>
      </w:r>
      <w:proofErr w:type="gramEnd"/>
      <w:r>
        <w:rPr>
          <w:rStyle w:val="Ninguno"/>
          <w:rFonts w:ascii="Arial" w:hAnsi="Arial"/>
          <w:sz w:val="22"/>
          <w:szCs w:val="22"/>
        </w:rPr>
        <w:t xml:space="preserve"> el espacio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le hubiera correspondido conforme a las bases aprobadas, dicho espacio no podr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ser utilizado por diverso Partido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SEXTA. - </w:t>
      </w:r>
      <w:r>
        <w:rPr>
          <w:rStyle w:val="Ninguno"/>
          <w:rFonts w:ascii="Arial" w:hAnsi="Arial"/>
          <w:sz w:val="22"/>
          <w:szCs w:val="22"/>
        </w:rPr>
        <w:t>En caso de que al finalizar la divisi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equitativa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que el</w:t>
      </w:r>
      <w:r>
        <w:rPr>
          <w:rStyle w:val="Ninguno"/>
          <w:rFonts w:ascii="Arial" w:hAnsi="Arial"/>
          <w:sz w:val="22"/>
          <w:szCs w:val="22"/>
        </w:rPr>
        <w:t xml:space="preserve"> Ayuntamiento otorgue, existiere alg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 xml:space="preserve">n espacio sobrante que por su naturaleza de dimensiones no pudiera dividirse, </w:t>
      </w:r>
      <w:r>
        <w:rPr>
          <w:rStyle w:val="Ninguno"/>
          <w:rFonts w:ascii="Arial" w:hAnsi="Arial"/>
          <w:sz w:val="22"/>
          <w:szCs w:val="22"/>
        </w:rPr>
        <w:t>é</w:t>
      </w:r>
      <w:r>
        <w:rPr>
          <w:rStyle w:val="Ninguno"/>
          <w:rFonts w:ascii="Arial" w:hAnsi="Arial"/>
          <w:sz w:val="22"/>
          <w:szCs w:val="22"/>
        </w:rPr>
        <w:t>ste quedar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sin uso.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S</w:t>
      </w:r>
      <w:r>
        <w:rPr>
          <w:rStyle w:val="Ninguno"/>
          <w:rFonts w:ascii="Arial" w:hAnsi="Arial"/>
          <w:b/>
          <w:bCs/>
          <w:sz w:val="22"/>
          <w:szCs w:val="22"/>
        </w:rPr>
        <w:t>É</w:t>
      </w:r>
      <w:r>
        <w:rPr>
          <w:rStyle w:val="Ninguno"/>
          <w:rFonts w:ascii="Arial" w:hAnsi="Arial"/>
          <w:b/>
          <w:bCs/>
          <w:sz w:val="22"/>
          <w:szCs w:val="22"/>
        </w:rPr>
        <w:t>PTIMA. -</w:t>
      </w:r>
      <w:r>
        <w:rPr>
          <w:rStyle w:val="Ninguno"/>
          <w:rFonts w:ascii="Arial" w:hAnsi="Arial"/>
          <w:sz w:val="22"/>
          <w:szCs w:val="22"/>
        </w:rPr>
        <w:t xml:space="preserve">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 tendr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 obligaci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cumplir la reglamentaci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municipal y/o estatal correspondie</w:t>
      </w:r>
      <w:r>
        <w:rPr>
          <w:rStyle w:val="Ninguno"/>
          <w:rFonts w:ascii="Arial" w:hAnsi="Arial"/>
          <w:sz w:val="22"/>
          <w:szCs w:val="22"/>
        </w:rPr>
        <w:t xml:space="preserve">nte. 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proofErr w:type="gramStart"/>
      <w:r>
        <w:rPr>
          <w:rStyle w:val="Ninguno"/>
          <w:rFonts w:ascii="Arial" w:hAnsi="Arial"/>
          <w:b/>
          <w:bCs/>
          <w:sz w:val="22"/>
          <w:szCs w:val="22"/>
        </w:rPr>
        <w:t>OCTAVA.-</w:t>
      </w:r>
      <w:proofErr w:type="gramEnd"/>
      <w:r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tendr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>n la obligaci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estar sujetos a las disposiciones relativas a la propaganda de la precampa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y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electoral de la Ley de Instituciones y Procedimientos Electorales del Estado de Yucat</w:t>
      </w:r>
      <w:r>
        <w:rPr>
          <w:rStyle w:val="Ninguno"/>
          <w:rFonts w:ascii="Arial" w:hAnsi="Arial"/>
          <w:sz w:val="22"/>
          <w:szCs w:val="22"/>
        </w:rPr>
        <w:t>á</w:t>
      </w:r>
      <w:r>
        <w:rPr>
          <w:rStyle w:val="Ninguno"/>
          <w:rFonts w:ascii="Arial" w:hAnsi="Arial"/>
          <w:sz w:val="22"/>
          <w:szCs w:val="22"/>
        </w:rPr>
        <w:t xml:space="preserve">n. </w:t>
      </w:r>
    </w:p>
    <w:p w:rsidR="00B11AD1" w:rsidRDefault="00B11AD1">
      <w:pPr>
        <w:spacing w:line="276" w:lineRule="auto"/>
        <w:ind w:firstLine="566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spacing w:line="276" w:lineRule="auto"/>
        <w:ind w:firstLine="566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Y por todo lo </w:t>
      </w:r>
      <w:r>
        <w:rPr>
          <w:rStyle w:val="Ninguno"/>
          <w:rFonts w:ascii="Arial" w:hAnsi="Arial"/>
          <w:sz w:val="22"/>
          <w:szCs w:val="22"/>
        </w:rPr>
        <w:t>anteriormente expuesto, fundado y motivado, el C</w:t>
      </w:r>
      <w:r w:rsidR="002B60E2">
        <w:rPr>
          <w:rStyle w:val="Ninguno"/>
          <w:rFonts w:ascii="Arial" w:hAnsi="Arial"/>
          <w:sz w:val="22"/>
          <w:szCs w:val="22"/>
        </w:rPr>
        <w:t xml:space="preserve">onsejo Municipal de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Dzoncauich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emite el siguiente:</w:t>
      </w:r>
    </w:p>
    <w:p w:rsidR="00B11AD1" w:rsidRDefault="00B11AD1">
      <w:pPr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B11AD1" w:rsidRDefault="00F65B6C">
      <w:pPr>
        <w:spacing w:line="276" w:lineRule="auto"/>
        <w:jc w:val="center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A C U E R D O</w:t>
      </w: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PRIMERO. -</w:t>
      </w:r>
      <w:r>
        <w:rPr>
          <w:rStyle w:val="Ninguno"/>
          <w:rFonts w:ascii="Arial" w:hAnsi="Arial"/>
          <w:sz w:val="22"/>
          <w:szCs w:val="22"/>
        </w:rPr>
        <w:t xml:space="preserve"> Se aprueban las bases del procedimiento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los espacios de uso com</w:t>
      </w:r>
      <w:r>
        <w:rPr>
          <w:rStyle w:val="Ninguno"/>
          <w:rFonts w:ascii="Arial" w:hAnsi="Arial"/>
          <w:sz w:val="22"/>
          <w:szCs w:val="22"/>
        </w:rPr>
        <w:t>ú</w:t>
      </w:r>
      <w:r>
        <w:rPr>
          <w:rStyle w:val="Ninguno"/>
          <w:rFonts w:ascii="Arial" w:hAnsi="Arial"/>
          <w:sz w:val="22"/>
          <w:szCs w:val="22"/>
        </w:rPr>
        <w:t>n para la colocaci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fijaci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 xml:space="preserve">n de la </w:t>
      </w:r>
      <w:r>
        <w:rPr>
          <w:rStyle w:val="Ninguno"/>
          <w:rFonts w:ascii="Arial" w:hAnsi="Arial"/>
          <w:sz w:val="22"/>
          <w:szCs w:val="22"/>
        </w:rPr>
        <w:t>propaganda electoral para la campa</w:t>
      </w:r>
      <w:r>
        <w:rPr>
          <w:rStyle w:val="Ninguno"/>
          <w:rFonts w:ascii="Arial" w:hAnsi="Arial"/>
          <w:sz w:val="22"/>
          <w:szCs w:val="22"/>
        </w:rPr>
        <w:t>ñ</w:t>
      </w:r>
      <w:r>
        <w:rPr>
          <w:rStyle w:val="Ninguno"/>
          <w:rFonts w:ascii="Arial" w:hAnsi="Arial"/>
          <w:sz w:val="22"/>
          <w:szCs w:val="22"/>
        </w:rPr>
        <w:t>a del Proceso Electoral Ordinario 2020-2021, descritas en el considerando quince del presente acuerdo.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SEGUNDO. - </w:t>
      </w:r>
      <w:r>
        <w:rPr>
          <w:rStyle w:val="Ninguno"/>
          <w:rFonts w:ascii="Arial" w:hAnsi="Arial"/>
          <w:sz w:val="22"/>
          <w:szCs w:val="22"/>
        </w:rPr>
        <w:t>Rem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tase copia del presente acuerdo al Consejo General del IEPAC para para su conocimiento.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 xml:space="preserve">TERCERO.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– </w:t>
      </w:r>
      <w:r>
        <w:rPr>
          <w:rStyle w:val="Ninguno"/>
          <w:rFonts w:ascii="Arial" w:hAnsi="Arial"/>
          <w:sz w:val="22"/>
          <w:szCs w:val="22"/>
        </w:rPr>
        <w:t>Un</w:t>
      </w:r>
      <w:r>
        <w:rPr>
          <w:rStyle w:val="Ninguno"/>
          <w:rFonts w:ascii="Arial" w:hAnsi="Arial"/>
          <w:sz w:val="22"/>
          <w:szCs w:val="22"/>
        </w:rPr>
        <w:t>a vez realizado el proceso de distribuci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conforme a las bases aprobadas, se deber</w:t>
      </w:r>
      <w:r>
        <w:rPr>
          <w:rStyle w:val="Ninguno"/>
          <w:rFonts w:ascii="Arial" w:hAnsi="Arial"/>
          <w:sz w:val="22"/>
          <w:szCs w:val="22"/>
        </w:rPr>
        <w:t xml:space="preserve">á </w:t>
      </w:r>
      <w:r>
        <w:rPr>
          <w:rStyle w:val="Ninguno"/>
          <w:rFonts w:ascii="Arial" w:hAnsi="Arial"/>
          <w:sz w:val="22"/>
          <w:szCs w:val="22"/>
        </w:rPr>
        <w:t>hacer del conocimiento el resultado de dicha distribuci</w:t>
      </w:r>
      <w:r>
        <w:rPr>
          <w:rStyle w:val="Ninguno"/>
          <w:rFonts w:ascii="Arial" w:hAnsi="Arial"/>
          <w:sz w:val="22"/>
          <w:szCs w:val="22"/>
        </w:rPr>
        <w:t>ó</w:t>
      </w:r>
      <w:r w:rsidR="002B60E2">
        <w:rPr>
          <w:rStyle w:val="Ninguno"/>
          <w:rFonts w:ascii="Arial" w:hAnsi="Arial"/>
          <w:sz w:val="22"/>
          <w:szCs w:val="22"/>
        </w:rPr>
        <w:t>n, al Consejo Distrital del XV</w:t>
      </w:r>
      <w:r>
        <w:rPr>
          <w:rStyle w:val="Ninguno"/>
          <w:rFonts w:ascii="Arial" w:hAnsi="Arial"/>
          <w:sz w:val="22"/>
          <w:szCs w:val="22"/>
        </w:rPr>
        <w:t xml:space="preserve"> Distrito Electoral </w:t>
      </w:r>
      <w:proofErr w:type="gramStart"/>
      <w:r>
        <w:rPr>
          <w:rStyle w:val="Ninguno"/>
          <w:rFonts w:ascii="Arial" w:hAnsi="Arial"/>
          <w:sz w:val="22"/>
          <w:szCs w:val="22"/>
        </w:rPr>
        <w:t>Uninominal,.</w:t>
      </w:r>
      <w:proofErr w:type="gramEnd"/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CUARTO. -</w:t>
      </w:r>
      <w:r>
        <w:rPr>
          <w:rStyle w:val="Ninguno"/>
          <w:rFonts w:ascii="Arial" w:hAnsi="Arial"/>
          <w:sz w:val="22"/>
          <w:szCs w:val="22"/>
        </w:rPr>
        <w:t xml:space="preserve"> Publ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quese el presente acuerdo en los es</w:t>
      </w:r>
      <w:r>
        <w:rPr>
          <w:rStyle w:val="Ninguno"/>
          <w:rFonts w:ascii="Arial" w:hAnsi="Arial"/>
          <w:sz w:val="22"/>
          <w:szCs w:val="22"/>
        </w:rPr>
        <w:t>trados de este Consejo Municipal, para la difusi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y conocimiento de los Partidos Pol</w:t>
      </w:r>
      <w:r>
        <w:rPr>
          <w:rStyle w:val="Ninguno"/>
          <w:rFonts w:ascii="Arial" w:hAnsi="Arial"/>
          <w:sz w:val="22"/>
          <w:szCs w:val="22"/>
        </w:rPr>
        <w:t>í</w:t>
      </w:r>
      <w:r>
        <w:rPr>
          <w:rStyle w:val="Ninguno"/>
          <w:rFonts w:ascii="Arial" w:hAnsi="Arial"/>
          <w:sz w:val="22"/>
          <w:szCs w:val="22"/>
        </w:rPr>
        <w:t>ticos acreditados ante este Consejo Electoral y en su caso para la representaci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de las Candidaturas Independientes.</w:t>
      </w:r>
    </w:p>
    <w:p w:rsidR="00B11AD1" w:rsidRDefault="00B11AD1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F65B6C">
      <w:p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Este acuerdo fue aprobado en </w:t>
      </w:r>
      <w:r>
        <w:rPr>
          <w:rStyle w:val="Ninguno"/>
          <w:rFonts w:ascii="Arial" w:hAnsi="Arial"/>
          <w:b/>
          <w:bCs/>
          <w:sz w:val="22"/>
          <w:szCs w:val="22"/>
        </w:rPr>
        <w:t>Sesi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Ordinaria</w:t>
      </w:r>
      <w:r>
        <w:rPr>
          <w:rStyle w:val="Ninguno"/>
          <w:rFonts w:ascii="Arial" w:hAnsi="Arial"/>
          <w:sz w:val="22"/>
          <w:szCs w:val="22"/>
        </w:rPr>
        <w:t xml:space="preserve"> del C</w:t>
      </w:r>
      <w:r w:rsidR="002B60E2">
        <w:rPr>
          <w:rStyle w:val="Ninguno"/>
          <w:rFonts w:ascii="Arial" w:hAnsi="Arial"/>
          <w:sz w:val="22"/>
          <w:szCs w:val="22"/>
        </w:rPr>
        <w:t xml:space="preserve">onsejo Municipal de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Dzoncauich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>celebrada el d</w:t>
      </w:r>
      <w:r>
        <w:rPr>
          <w:rStyle w:val="Ninguno"/>
          <w:rFonts w:ascii="Arial" w:hAnsi="Arial"/>
          <w:sz w:val="22"/>
          <w:szCs w:val="22"/>
        </w:rPr>
        <w:t>í</w:t>
      </w:r>
      <w:r w:rsidR="002B60E2">
        <w:rPr>
          <w:rStyle w:val="Ninguno"/>
          <w:rFonts w:ascii="Arial" w:hAnsi="Arial"/>
          <w:sz w:val="22"/>
          <w:szCs w:val="22"/>
        </w:rPr>
        <w:t>a 22 de febrero</w:t>
      </w:r>
      <w:r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Ninguno"/>
          <w:rFonts w:ascii="Arial" w:hAnsi="Arial"/>
          <w:sz w:val="22"/>
          <w:szCs w:val="22"/>
        </w:rPr>
        <w:t>d</w:t>
      </w:r>
      <w:r w:rsidR="002B60E2">
        <w:rPr>
          <w:rStyle w:val="Ninguno"/>
          <w:rFonts w:ascii="Arial" w:hAnsi="Arial"/>
          <w:sz w:val="22"/>
          <w:szCs w:val="22"/>
        </w:rPr>
        <w:t>e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</w:t>
      </w:r>
      <w:proofErr w:type="gramStart"/>
      <w:r w:rsidR="002B60E2">
        <w:rPr>
          <w:rStyle w:val="Ninguno"/>
          <w:rFonts w:ascii="Arial" w:hAnsi="Arial"/>
          <w:sz w:val="22"/>
          <w:szCs w:val="22"/>
        </w:rPr>
        <w:t>dos mil veintiuno</w:t>
      </w:r>
      <w:proofErr w:type="gramEnd"/>
      <w:r w:rsidR="002B60E2">
        <w:rPr>
          <w:rStyle w:val="Ninguno"/>
          <w:rFonts w:ascii="Arial" w:hAnsi="Arial"/>
          <w:sz w:val="22"/>
          <w:szCs w:val="22"/>
        </w:rPr>
        <w:t xml:space="preserve">, por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unaminidad</w:t>
      </w:r>
      <w:proofErr w:type="spellEnd"/>
      <w:r>
        <w:rPr>
          <w:rStyle w:val="Ninguno"/>
          <w:rFonts w:ascii="Arial" w:hAnsi="Arial"/>
          <w:sz w:val="22"/>
          <w:szCs w:val="22"/>
        </w:rPr>
        <w:t xml:space="preserve"> de votos de los ciudadanos Consejeros y Conseje</w:t>
      </w:r>
      <w:r w:rsidR="002B60E2">
        <w:rPr>
          <w:rStyle w:val="Ninguno"/>
          <w:rFonts w:ascii="Arial" w:hAnsi="Arial"/>
          <w:sz w:val="22"/>
          <w:szCs w:val="22"/>
        </w:rPr>
        <w:t xml:space="preserve">ras Electorales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Jose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Antonio Polanco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Huan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, Benedicta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Fabia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Dzul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Hoy y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Tairi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 w:rsidR="002B60E2">
        <w:rPr>
          <w:rStyle w:val="Ninguno"/>
          <w:rFonts w:ascii="Arial" w:hAnsi="Arial"/>
          <w:sz w:val="22"/>
          <w:szCs w:val="22"/>
        </w:rPr>
        <w:t>Veronica</w:t>
      </w:r>
      <w:proofErr w:type="spellEnd"/>
      <w:r w:rsidR="002B60E2">
        <w:rPr>
          <w:rStyle w:val="Ninguno"/>
          <w:rFonts w:ascii="Arial" w:hAnsi="Arial"/>
          <w:sz w:val="22"/>
          <w:szCs w:val="22"/>
        </w:rPr>
        <w:t xml:space="preserve"> Pat Canche</w:t>
      </w:r>
      <w:r>
        <w:rPr>
          <w:rStyle w:val="Ninguno"/>
          <w:rFonts w:ascii="Arial" w:hAnsi="Arial"/>
          <w:sz w:val="22"/>
          <w:szCs w:val="22"/>
        </w:rPr>
        <w:t>.</w:t>
      </w: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2B60E2">
      <w:pPr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eastAsia="Arial" w:hAnsi="Arial" w:cs="Arial"/>
          <w:sz w:val="22"/>
          <w:szCs w:val="22"/>
        </w:rPr>
        <w:t>TAYRI VERONICA PAT CANCHE                      LIZBETH AMIRA SOLIS CASTAÑEDA</w:t>
      </w:r>
    </w:p>
    <w:p w:rsidR="00B11AD1" w:rsidRDefault="00B11AD1">
      <w:pPr>
        <w:rPr>
          <w:rStyle w:val="Ninguno"/>
          <w:rFonts w:ascii="Arial" w:eastAsia="Arial" w:hAnsi="Arial" w:cs="Arial"/>
          <w:sz w:val="22"/>
          <w:szCs w:val="22"/>
        </w:rPr>
      </w:pPr>
    </w:p>
    <w:p w:rsidR="00B11AD1" w:rsidRDefault="002B60E2">
      <w:pPr>
        <w:jc w:val="center"/>
      </w:pPr>
      <w:r>
        <w:rPr>
          <w:rStyle w:val="Ninguno"/>
          <w:rFonts w:ascii="Arial" w:hAnsi="Arial"/>
          <w:b/>
          <w:bCs/>
          <w:sz w:val="22"/>
          <w:szCs w:val="22"/>
        </w:rPr>
        <w:t>CONSEJERA</w:t>
      </w:r>
      <w:r w:rsidR="00F65B6C">
        <w:rPr>
          <w:rStyle w:val="Ninguno"/>
          <w:rFonts w:ascii="Arial" w:hAnsi="Arial"/>
          <w:b/>
          <w:bCs/>
          <w:sz w:val="22"/>
          <w:szCs w:val="22"/>
        </w:rPr>
        <w:t xml:space="preserve"> PRESIDENTE          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                 SECRETARIA EJECUTIVA</w:t>
      </w:r>
    </w:p>
    <w:sectPr w:rsidR="00B11AD1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5B6C">
      <w:r>
        <w:separator/>
      </w:r>
    </w:p>
  </w:endnote>
  <w:endnote w:type="continuationSeparator" w:id="0">
    <w:p w:rsidR="00000000" w:rsidRDefault="00F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D1" w:rsidRDefault="00F65B6C">
    <w:pPr>
      <w:pStyle w:val="Piedepgina"/>
      <w:tabs>
        <w:tab w:val="clear" w:pos="8504"/>
        <w:tab w:val="right" w:pos="8478"/>
      </w:tabs>
      <w:jc w:val="right"/>
    </w:pPr>
    <w:r>
      <w:rPr>
        <w:rStyle w:val="Ninguno"/>
        <w:rFonts w:ascii="Arial" w:hAnsi="Arial"/>
        <w:sz w:val="21"/>
        <w:szCs w:val="21"/>
      </w:rPr>
      <w:t>P</w:t>
    </w:r>
    <w:r>
      <w:rPr>
        <w:rStyle w:val="Ninguno"/>
        <w:rFonts w:ascii="Arial" w:hAnsi="Arial"/>
        <w:sz w:val="21"/>
        <w:szCs w:val="21"/>
      </w:rPr>
      <w:t>á</w:t>
    </w:r>
    <w:r>
      <w:rPr>
        <w:rStyle w:val="Ninguno"/>
        <w:rFonts w:ascii="Arial" w:hAnsi="Arial"/>
        <w:sz w:val="21"/>
        <w:szCs w:val="21"/>
      </w:rPr>
      <w:t xml:space="preserve">gina </w:t>
    </w:r>
    <w:r>
      <w:rPr>
        <w:rStyle w:val="Ninguno"/>
        <w:rFonts w:ascii="Arial" w:eastAsia="Arial" w:hAnsi="Arial" w:cs="Arial"/>
        <w:b/>
        <w:bCs/>
        <w:sz w:val="21"/>
        <w:szCs w:val="21"/>
      </w:rPr>
      <w:fldChar w:fldCharType="begin"/>
    </w:r>
    <w:r>
      <w:rPr>
        <w:rStyle w:val="Ninguno"/>
        <w:rFonts w:ascii="Arial" w:eastAsia="Arial" w:hAnsi="Arial" w:cs="Arial"/>
        <w:b/>
        <w:bCs/>
        <w:sz w:val="21"/>
        <w:szCs w:val="21"/>
      </w:rPr>
      <w:instrText xml:space="preserve"> PAGE </w:instrText>
    </w:r>
    <w:r w:rsidR="00CB5219">
      <w:rPr>
        <w:rStyle w:val="Ninguno"/>
        <w:rFonts w:ascii="Arial" w:eastAsia="Arial" w:hAnsi="Arial" w:cs="Arial"/>
        <w:b/>
        <w:bCs/>
        <w:sz w:val="21"/>
        <w:szCs w:val="21"/>
      </w:rPr>
      <w:fldChar w:fldCharType="separate"/>
    </w:r>
    <w:r w:rsidR="00AB115E">
      <w:rPr>
        <w:rStyle w:val="Ninguno"/>
        <w:rFonts w:ascii="Arial" w:eastAsia="Arial" w:hAnsi="Arial" w:cs="Arial"/>
        <w:b/>
        <w:bCs/>
        <w:noProof/>
        <w:sz w:val="21"/>
        <w:szCs w:val="21"/>
      </w:rPr>
      <w:t>6</w:t>
    </w:r>
    <w:r>
      <w:rPr>
        <w:rStyle w:val="Ninguno"/>
        <w:rFonts w:ascii="Arial" w:eastAsia="Arial" w:hAnsi="Arial" w:cs="Arial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5B6C">
      <w:r>
        <w:separator/>
      </w:r>
    </w:p>
  </w:footnote>
  <w:footnote w:type="continuationSeparator" w:id="0">
    <w:p w:rsidR="00000000" w:rsidRDefault="00F6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D1" w:rsidRDefault="00B11AD1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D1"/>
    <w:rsid w:val="002B60E2"/>
    <w:rsid w:val="00AB115E"/>
    <w:rsid w:val="00B11AD1"/>
    <w:rsid w:val="00CB5219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C3DB"/>
  <w15:docId w15:val="{04A7E664-9FFE-4616-B958-6C5CE7C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pPr>
      <w:spacing w:before="100" w:after="100"/>
      <w:jc w:val="center"/>
      <w:outlineLvl w:val="0"/>
    </w:pPr>
    <w:rPr>
      <w:rFonts w:ascii="Verdana" w:hAnsi="Verdana" w:cs="Arial Unicode MS"/>
      <w:b/>
      <w:bCs/>
      <w:color w:val="000000"/>
      <w:kern w:val="36"/>
      <w:sz w:val="15"/>
      <w:szCs w:val="15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Texto">
    <w:name w:val="Texto"/>
    <w:pPr>
      <w:spacing w:after="101" w:line="216" w:lineRule="exact"/>
      <w:ind w:firstLine="288"/>
      <w:jc w:val="both"/>
    </w:pPr>
    <w:rPr>
      <w:rFonts w:ascii="Arial" w:eastAsia="Arial" w:hAnsi="Arial" w:cs="Arial"/>
      <w:color w:val="000000"/>
      <w:sz w:val="18"/>
      <w:szCs w:val="18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0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0E2"/>
    <w:rPr>
      <w:rFonts w:ascii="Segoe UI" w:hAnsi="Segoe UI" w:cs="Segoe UI"/>
      <w:color w:val="000000"/>
      <w:sz w:val="18"/>
      <w:szCs w:val="1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2522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529992615125</cp:lastModifiedBy>
  <cp:revision>4</cp:revision>
  <cp:lastPrinted>2021-02-23T01:20:00Z</cp:lastPrinted>
  <dcterms:created xsi:type="dcterms:W3CDTF">2021-02-23T01:01:00Z</dcterms:created>
  <dcterms:modified xsi:type="dcterms:W3CDTF">2021-02-23T01:21:00Z</dcterms:modified>
</cp:coreProperties>
</file>