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ACUERDO CM/</w:t>
      </w:r>
      <w:r w:rsidR="00562B92" w:rsidRPr="00672910">
        <w:rPr>
          <w:rFonts w:ascii="Arial" w:eastAsia="Calibri" w:hAnsi="Arial" w:cs="Arial"/>
          <w:b/>
          <w:bCs/>
          <w:sz w:val="24"/>
          <w:szCs w:val="24"/>
        </w:rPr>
        <w:t>007</w:t>
      </w:r>
      <w:r w:rsidRPr="00672910">
        <w:rPr>
          <w:rFonts w:ascii="Arial" w:eastAsia="Calibri" w:hAnsi="Arial" w:cs="Arial"/>
          <w:b/>
          <w:bCs/>
          <w:sz w:val="24"/>
          <w:szCs w:val="24"/>
        </w:rPr>
        <w:t>/2021/IXILYUCATAN</w:t>
      </w:r>
    </w:p>
    <w:p w:rsidR="00620AE3" w:rsidRPr="00672910" w:rsidRDefault="00620AE3" w:rsidP="00620AE3">
      <w:pPr>
        <w:jc w:val="both"/>
        <w:rPr>
          <w:rFonts w:ascii="Arial" w:eastAsia="Calibri" w:hAnsi="Arial" w:cs="Arial"/>
          <w:b/>
          <w:bCs/>
          <w:sz w:val="24"/>
          <w:szCs w:val="24"/>
        </w:rPr>
      </w:pPr>
    </w:p>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 xml:space="preserve">ACUERDO DEL CONSEJO MUNICIPAL ELECTORAL DE IXIL YUCATAN, YUCATÁN POR EL CUAL SE REGISTRA LA PLANILLA DE CANDIDATOS Y CANDIDATAS A REGIDORES POR EL PRINCIPIO DE MAYORÍA RELATIVA Y DE REPRESENTACIÓN PROPORCIONAL, POSTULADOS POR EL PARTIDO </w:t>
      </w:r>
      <w:r w:rsidR="00562B92" w:rsidRPr="00672910">
        <w:rPr>
          <w:rFonts w:ascii="Arial" w:eastAsia="Calibri" w:hAnsi="Arial" w:cs="Arial"/>
          <w:b/>
          <w:bCs/>
          <w:sz w:val="24"/>
          <w:szCs w:val="24"/>
        </w:rPr>
        <w:t>POLÍTICO, PARTIDO ENCUENTRO SOLIDARIO</w:t>
      </w:r>
      <w:r w:rsidRPr="00672910">
        <w:rPr>
          <w:rFonts w:ascii="Arial" w:eastAsia="Calibri" w:hAnsi="Arial" w:cs="Arial"/>
          <w:b/>
          <w:bCs/>
          <w:sz w:val="24"/>
          <w:szCs w:val="24"/>
        </w:rPr>
        <w:t xml:space="preserve"> EN EL PROCESO ELECTORAL ORDINARIO 2020-2021, PARA INTEGRAR EL H. AYUNTAMIENTO DEL MUNICIPIO DE IXIL, YUCATÁN.</w:t>
      </w:r>
    </w:p>
    <w:p w:rsidR="00620AE3" w:rsidRPr="00672910" w:rsidRDefault="00620AE3" w:rsidP="00620AE3">
      <w:pPr>
        <w:jc w:val="both"/>
        <w:rPr>
          <w:rFonts w:ascii="Arial" w:eastAsia="Calibri" w:hAnsi="Arial" w:cs="Arial"/>
          <w:b/>
          <w:bCs/>
          <w:sz w:val="24"/>
          <w:szCs w:val="24"/>
        </w:rPr>
      </w:pP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GLOSARIO</w:t>
      </w:r>
    </w:p>
    <w:p w:rsidR="00620AE3" w:rsidRPr="00672910" w:rsidRDefault="00620AE3" w:rsidP="00620AE3">
      <w:pPr>
        <w:jc w:val="both"/>
        <w:rPr>
          <w:rFonts w:ascii="Arial" w:eastAsia="Calibri" w:hAnsi="Arial" w:cs="Arial"/>
          <w:b/>
          <w:bCs/>
          <w:sz w:val="24"/>
          <w:szCs w:val="24"/>
        </w:rPr>
      </w:pP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 xml:space="preserve">CPEUM: </w:t>
      </w:r>
      <w:r w:rsidRPr="00672910">
        <w:rPr>
          <w:rFonts w:ascii="Arial" w:eastAsia="Calibri" w:hAnsi="Arial" w:cs="Arial"/>
          <w:sz w:val="24"/>
          <w:szCs w:val="24"/>
        </w:rPr>
        <w:t>Constitución Política de los Estados Unidos Mexicanos.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CPEY</w:t>
      </w:r>
      <w:r w:rsidRPr="00672910">
        <w:rPr>
          <w:rFonts w:ascii="Arial" w:eastAsia="Calibri" w:hAnsi="Arial" w:cs="Arial"/>
          <w:sz w:val="24"/>
          <w:szCs w:val="24"/>
        </w:rPr>
        <w:t>: Constitución Política del Estado de Yucatán.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INE</w:t>
      </w:r>
      <w:r w:rsidRPr="00672910">
        <w:rPr>
          <w:rFonts w:ascii="Arial" w:eastAsia="Calibri" w:hAnsi="Arial" w:cs="Arial"/>
          <w:sz w:val="24"/>
          <w:szCs w:val="24"/>
        </w:rPr>
        <w:t>: Instituto Nacional Electoral.</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IEPAC</w:t>
      </w:r>
      <w:r w:rsidRPr="00672910">
        <w:rPr>
          <w:rFonts w:ascii="Arial" w:eastAsia="Calibri" w:hAnsi="Arial" w:cs="Arial"/>
          <w:sz w:val="24"/>
          <w:szCs w:val="24"/>
        </w:rPr>
        <w:t>: Instituto Electoral y de Participación Ciudadana de Yucatán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LGIPE</w:t>
      </w:r>
      <w:r w:rsidRPr="00672910">
        <w:rPr>
          <w:rFonts w:ascii="Arial" w:eastAsia="Calibri" w:hAnsi="Arial" w:cs="Arial"/>
          <w:sz w:val="24"/>
          <w:szCs w:val="24"/>
        </w:rPr>
        <w:t>: Ley General de Instituciones y Procedimientos Electorales.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LIPEEY</w:t>
      </w:r>
      <w:r w:rsidRPr="00672910">
        <w:rPr>
          <w:rFonts w:ascii="Arial" w:eastAsia="Calibri" w:hAnsi="Arial" w:cs="Arial"/>
          <w:sz w:val="24"/>
          <w:szCs w:val="24"/>
        </w:rPr>
        <w:t>: Ley de Instituciones y Procedimientos Electorales del Estado de Yucatán.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LGPP</w:t>
      </w:r>
      <w:r w:rsidRPr="00672910">
        <w:rPr>
          <w:rFonts w:ascii="Arial" w:eastAsia="Calibri" w:hAnsi="Arial" w:cs="Arial"/>
          <w:sz w:val="24"/>
          <w:szCs w:val="24"/>
        </w:rPr>
        <w:t>: Ley General de Partidos Políticos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LPPEY</w:t>
      </w:r>
      <w:r w:rsidRPr="00672910">
        <w:rPr>
          <w:rFonts w:ascii="Arial" w:eastAsia="Calibri" w:hAnsi="Arial" w:cs="Arial"/>
          <w:sz w:val="24"/>
          <w:szCs w:val="24"/>
        </w:rPr>
        <w:t>: Ley de Partidos Políticos del Estado de Yucatán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OPL</w:t>
      </w:r>
      <w:r w:rsidRPr="00672910">
        <w:rPr>
          <w:rFonts w:ascii="Arial" w:eastAsia="Calibri" w:hAnsi="Arial" w:cs="Arial"/>
          <w:sz w:val="24"/>
          <w:szCs w:val="24"/>
        </w:rPr>
        <w:t>: Organismo Público Local Electoral</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RE</w:t>
      </w:r>
      <w:r w:rsidRPr="00672910">
        <w:rPr>
          <w:rFonts w:ascii="Arial" w:eastAsia="Calibri" w:hAnsi="Arial" w:cs="Arial"/>
          <w:sz w:val="24"/>
          <w:szCs w:val="24"/>
        </w:rPr>
        <w:t>: Reglamento de Elecciones del Instituto Nacional Electoral</w:t>
      </w: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ANTECEDENTES</w:t>
      </w:r>
    </w:p>
    <w:p w:rsidR="00620AE3" w:rsidRPr="00672910" w:rsidRDefault="00620AE3" w:rsidP="00620AE3">
      <w:pPr>
        <w:jc w:val="both"/>
        <w:rPr>
          <w:rFonts w:ascii="Arial" w:eastAsia="Calibri" w:hAnsi="Arial" w:cs="Arial"/>
          <w:b/>
          <w:bCs/>
          <w:sz w:val="24"/>
          <w:szCs w:val="24"/>
        </w:rPr>
      </w:pP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 xml:space="preserve">I.- </w:t>
      </w:r>
      <w:r w:rsidRPr="00672910">
        <w:rPr>
          <w:rFonts w:ascii="Arial" w:eastAsia="Calibri" w:hAnsi="Arial" w:cs="Arial"/>
          <w:sz w:val="24"/>
          <w:szCs w:val="24"/>
        </w:rPr>
        <w:t>El día veintitrés de mayo del año dos mil catorce, fue publicado en el Diario Oficial de la Federación, el Decreto por el que se expide la LGIPE y la LGPP.</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II.-</w:t>
      </w:r>
      <w:r w:rsidRPr="00672910">
        <w:rPr>
          <w:rFonts w:ascii="Arial" w:eastAsia="Calibri"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lastRenderedPageBreak/>
        <w:t>III.-</w:t>
      </w:r>
      <w:r w:rsidRPr="00672910">
        <w:rPr>
          <w:rFonts w:ascii="Arial" w:eastAsia="Calibri"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IV.-</w:t>
      </w:r>
      <w:r w:rsidRPr="00672910">
        <w:rPr>
          <w:rFonts w:ascii="Arial" w:eastAsia="Calibri" w:hAnsi="Arial" w:cs="Arial"/>
          <w:sz w:val="24"/>
          <w:szCs w:val="24"/>
        </w:rPr>
        <w:t xml:space="preserve"> Mediante el Decreto 225/2020 de fecha veintinueve de mayo de dos mil veinte, se aplazó la fecha de inicio del Proceso Electoral Ordinario 2020-2021.</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V.-</w:t>
      </w:r>
      <w:r w:rsidRPr="00672910">
        <w:rPr>
          <w:rFonts w:ascii="Arial" w:eastAsia="Calibri"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CONSIDERANDO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w:t>
      </w:r>
      <w:r w:rsidRPr="00672910">
        <w:rPr>
          <w:rFonts w:ascii="Arial" w:eastAsia="Calibri"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w:t>
      </w:r>
      <w:r w:rsidRPr="00672910">
        <w:rPr>
          <w:rFonts w:ascii="Arial" w:eastAsia="Calibri"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3.-</w:t>
      </w:r>
      <w:r w:rsidRPr="00672910">
        <w:rPr>
          <w:rFonts w:ascii="Arial" w:eastAsia="Calibri" w:hAnsi="Arial" w:cs="Arial"/>
          <w:sz w:val="24"/>
          <w:szCs w:val="24"/>
        </w:rPr>
        <w:t xml:space="preserve"> Que el artículo 41, tercero párrafo de la CPEUM, establece que la renovación de los poderes Legislativo y Ejecutivo se realizará mediante elecciones libres, auténticas y periódicas.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4.-</w:t>
      </w:r>
      <w:r w:rsidRPr="00672910">
        <w:rPr>
          <w:rFonts w:ascii="Arial" w:eastAsia="Calibri"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w:t>
      </w:r>
      <w:r w:rsidRPr="00672910">
        <w:rPr>
          <w:rFonts w:ascii="Arial" w:eastAsia="Calibri" w:hAnsi="Arial" w:cs="Arial"/>
          <w:sz w:val="24"/>
          <w:szCs w:val="24"/>
        </w:rPr>
        <w:lastRenderedPageBreak/>
        <w:t>individualmente a ellos; por tanto, quedan prohibidas la intervención de organizaciones gremiales o con objeto social diferente en la creación de partidos y cualquier forma de afiliación corporativa.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Los partidos políticos nacionales tendrán derecho a participar en las elecciones de las entidades federativas y municipales.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5.-</w:t>
      </w:r>
      <w:r w:rsidRPr="00672910">
        <w:rPr>
          <w:rFonts w:ascii="Arial" w:eastAsia="Calibri"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6.-</w:t>
      </w:r>
      <w:r w:rsidRPr="00672910">
        <w:rPr>
          <w:rFonts w:ascii="Arial" w:eastAsia="Calibri"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 xml:space="preserve">7.- </w:t>
      </w:r>
      <w:r w:rsidRPr="00672910">
        <w:rPr>
          <w:rFonts w:ascii="Arial" w:eastAsia="Calibri"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lastRenderedPageBreak/>
        <w:t>La violación a estas disposiciones por los partidos o cualquier otra persona física o moral será sancionada conforme a la ley.</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8.-</w:t>
      </w:r>
      <w:r w:rsidRPr="00672910">
        <w:rPr>
          <w:rFonts w:ascii="Arial" w:eastAsia="Calibri"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9.-</w:t>
      </w:r>
      <w:r w:rsidRPr="00672910">
        <w:rPr>
          <w:rFonts w:ascii="Arial" w:eastAsia="Calibri"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10.-</w:t>
      </w:r>
      <w:r w:rsidRPr="00672910">
        <w:rPr>
          <w:rFonts w:ascii="Arial" w:eastAsia="Calibri"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11.-</w:t>
      </w:r>
      <w:r w:rsidRPr="00672910">
        <w:rPr>
          <w:rFonts w:ascii="Arial" w:eastAsia="Calibri"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12.-</w:t>
      </w:r>
      <w:r w:rsidRPr="00672910">
        <w:rPr>
          <w:rFonts w:ascii="Arial" w:eastAsia="Calibri"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13.-</w:t>
      </w:r>
      <w:r w:rsidRPr="00672910">
        <w:rPr>
          <w:rFonts w:ascii="Arial" w:eastAsia="Calibri"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14.-</w:t>
      </w:r>
      <w:r w:rsidRPr="00672910">
        <w:rPr>
          <w:rFonts w:ascii="Arial" w:eastAsia="Calibri"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lastRenderedPageBreak/>
        <w:t>15.-</w:t>
      </w:r>
      <w:r w:rsidRPr="00672910">
        <w:rPr>
          <w:rFonts w:ascii="Arial" w:eastAsia="Calibri"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16.-</w:t>
      </w:r>
      <w:r w:rsidRPr="00672910">
        <w:rPr>
          <w:rFonts w:ascii="Arial" w:eastAsia="Calibri"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17.-</w:t>
      </w:r>
      <w:r w:rsidRPr="00672910">
        <w:rPr>
          <w:rFonts w:ascii="Arial" w:eastAsia="Calibri"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22 de enero de </w:t>
      </w:r>
      <w:proofErr w:type="gramStart"/>
      <w:r w:rsidRPr="00672910">
        <w:rPr>
          <w:rFonts w:ascii="Arial" w:eastAsia="Calibri" w:hAnsi="Arial" w:cs="Arial"/>
          <w:sz w:val="24"/>
          <w:szCs w:val="24"/>
        </w:rPr>
        <w:t>dos mil veintiuno</w:t>
      </w:r>
      <w:proofErr w:type="gramEnd"/>
      <w:r w:rsidRPr="00672910">
        <w:rPr>
          <w:rFonts w:ascii="Arial" w:eastAsia="Calibri" w:hAnsi="Arial" w:cs="Arial"/>
          <w:sz w:val="24"/>
          <w:szCs w:val="24"/>
        </w:rPr>
        <w:t xml:space="preserve"> el Consejo Municipal de Ixil, Yucatán, realizó la sesión de instalación del citado Consejo, dando inicio a sus funciones y actividades regulares.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18.-</w:t>
      </w:r>
      <w:r w:rsidRPr="00672910">
        <w:rPr>
          <w:rFonts w:ascii="Arial" w:eastAsia="Calibri"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19.-</w:t>
      </w:r>
      <w:r w:rsidRPr="00672910">
        <w:rPr>
          <w:rFonts w:ascii="Arial" w:eastAsia="Calibri"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20.-</w:t>
      </w:r>
      <w:r w:rsidRPr="00672910">
        <w:rPr>
          <w:rFonts w:ascii="Arial" w:eastAsia="Calibri"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21.-</w:t>
      </w:r>
      <w:r w:rsidRPr="00672910">
        <w:rPr>
          <w:rFonts w:ascii="Arial" w:eastAsia="Calibri"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620AE3" w:rsidRPr="00672910" w:rsidRDefault="00620AE3" w:rsidP="00620AE3">
      <w:pPr>
        <w:ind w:left="705"/>
        <w:jc w:val="both"/>
        <w:rPr>
          <w:rFonts w:ascii="Arial" w:eastAsia="Calibri" w:hAnsi="Arial" w:cs="Arial"/>
          <w:sz w:val="24"/>
          <w:szCs w:val="24"/>
        </w:rPr>
      </w:pPr>
      <w:r w:rsidRPr="00672910">
        <w:rPr>
          <w:rFonts w:ascii="Arial" w:eastAsia="Calibri" w:hAnsi="Arial" w:cs="Arial"/>
          <w:sz w:val="24"/>
          <w:szCs w:val="24"/>
        </w:rPr>
        <w:t>I. Cinco Regidurías para los que cuenten con hasta cinco mil habitantes, de los cuales 3 serán de mayoría relativa y 2 de representación proporcional.</w:t>
      </w:r>
    </w:p>
    <w:p w:rsidR="00620AE3" w:rsidRPr="00672910" w:rsidRDefault="00620AE3" w:rsidP="00620AE3">
      <w:pPr>
        <w:ind w:left="705"/>
        <w:jc w:val="both"/>
        <w:rPr>
          <w:rFonts w:ascii="Arial" w:eastAsia="Calibri" w:hAnsi="Arial" w:cs="Arial"/>
          <w:sz w:val="24"/>
          <w:szCs w:val="24"/>
        </w:rPr>
      </w:pPr>
      <w:r w:rsidRPr="00672910">
        <w:rPr>
          <w:rFonts w:ascii="Arial" w:eastAsia="Calibri" w:hAnsi="Arial" w:cs="Arial"/>
          <w:sz w:val="24"/>
          <w:szCs w:val="24"/>
        </w:rPr>
        <w:t>II. Ocho Regidurías para los que cuenten con más de cinco mil y hasta diez mil habitantes, de los cuales 5 serán de mayoría relativa y 3 de representación proporcional.</w:t>
      </w:r>
    </w:p>
    <w:p w:rsidR="00620AE3" w:rsidRPr="00672910" w:rsidRDefault="00620AE3" w:rsidP="00620AE3">
      <w:pPr>
        <w:ind w:left="705"/>
        <w:jc w:val="both"/>
        <w:rPr>
          <w:rFonts w:ascii="Arial" w:eastAsia="Calibri" w:hAnsi="Arial" w:cs="Arial"/>
          <w:sz w:val="24"/>
          <w:szCs w:val="24"/>
        </w:rPr>
      </w:pPr>
      <w:r w:rsidRPr="00672910">
        <w:rPr>
          <w:rFonts w:ascii="Arial" w:eastAsia="Calibri" w:hAnsi="Arial" w:cs="Arial"/>
          <w:sz w:val="24"/>
          <w:szCs w:val="24"/>
        </w:rPr>
        <w:lastRenderedPageBreak/>
        <w:t>III. Once Regidurías para los que cuenten con más de diez mil y hasta doscientos cincuenta mil habitantes, de los cuales 7 serán de mayoría relativa y 4 de representación proporcional.</w:t>
      </w:r>
    </w:p>
    <w:p w:rsidR="00620AE3" w:rsidRPr="00672910" w:rsidRDefault="00620AE3" w:rsidP="00620AE3">
      <w:pPr>
        <w:ind w:left="705"/>
        <w:jc w:val="both"/>
        <w:rPr>
          <w:rFonts w:ascii="Arial" w:eastAsia="Calibri" w:hAnsi="Arial" w:cs="Arial"/>
          <w:sz w:val="24"/>
          <w:szCs w:val="24"/>
        </w:rPr>
      </w:pPr>
      <w:r w:rsidRPr="00672910">
        <w:rPr>
          <w:rFonts w:ascii="Arial" w:eastAsia="Calibri" w:hAnsi="Arial" w:cs="Arial"/>
          <w:sz w:val="24"/>
          <w:szCs w:val="24"/>
        </w:rPr>
        <w:t>IV. Diecinueve Regidurías para los que cuenten con más de doscientos cincuenta mil habitantes, de los cuales 11 serán de mayoría relativa y 8 de representación proporcional.</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22.-</w:t>
      </w:r>
      <w:r w:rsidRPr="00672910">
        <w:rPr>
          <w:rFonts w:ascii="Arial" w:eastAsia="Calibri"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23.-</w:t>
      </w:r>
      <w:r w:rsidRPr="00672910">
        <w:rPr>
          <w:rFonts w:ascii="Arial" w:eastAsia="Calibri"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620AE3" w:rsidRPr="00672910" w:rsidTr="00002B9C">
        <w:tc>
          <w:tcPr>
            <w:tcW w:w="2942"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CARGO DE REPRESENTACIÓN POPULAR</w:t>
            </w:r>
          </w:p>
        </w:tc>
        <w:tc>
          <w:tcPr>
            <w:tcW w:w="2943"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DURACIÓN DE LAS CAMPAÑAS ELECTORALES</w:t>
            </w:r>
          </w:p>
        </w:tc>
        <w:tc>
          <w:tcPr>
            <w:tcW w:w="2943"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PERIODO DE LAS CAMPAÑAS ELECTORALES</w:t>
            </w:r>
          </w:p>
        </w:tc>
      </w:tr>
      <w:tr w:rsidR="00620AE3" w:rsidRPr="00672910" w:rsidTr="00002B9C">
        <w:tc>
          <w:tcPr>
            <w:tcW w:w="2942"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DIPUTACIONES LOCALES</w:t>
            </w:r>
          </w:p>
        </w:tc>
        <w:tc>
          <w:tcPr>
            <w:tcW w:w="2943"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55 días</w:t>
            </w:r>
          </w:p>
        </w:tc>
        <w:tc>
          <w:tcPr>
            <w:tcW w:w="2943"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09 de abril de 2021 a 02 de junio de 2021</w:t>
            </w:r>
          </w:p>
        </w:tc>
      </w:tr>
      <w:tr w:rsidR="00620AE3" w:rsidRPr="00672910" w:rsidTr="00002B9C">
        <w:tc>
          <w:tcPr>
            <w:tcW w:w="2942"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REGIDURÍAS</w:t>
            </w:r>
          </w:p>
        </w:tc>
        <w:tc>
          <w:tcPr>
            <w:tcW w:w="2943"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55 días</w:t>
            </w:r>
          </w:p>
        </w:tc>
        <w:tc>
          <w:tcPr>
            <w:tcW w:w="2943"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09 de abril de 2021 a 02 de junio de 2021</w:t>
            </w:r>
          </w:p>
        </w:tc>
      </w:tr>
    </w:tbl>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24.-</w:t>
      </w:r>
      <w:r w:rsidRPr="00672910">
        <w:rPr>
          <w:rFonts w:ascii="Arial" w:eastAsia="Calibri"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25.-</w:t>
      </w:r>
      <w:r w:rsidRPr="00672910">
        <w:rPr>
          <w:rFonts w:ascii="Arial" w:eastAsia="Calibri"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 xml:space="preserve">26.- </w:t>
      </w:r>
      <w:r w:rsidRPr="00672910">
        <w:rPr>
          <w:rFonts w:ascii="Arial" w:eastAsia="Calibri"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w:t>
      </w:r>
      <w:r w:rsidRPr="00672910">
        <w:rPr>
          <w:rFonts w:ascii="Arial" w:eastAsia="Calibri" w:hAnsi="Arial" w:cs="Arial"/>
          <w:sz w:val="24"/>
          <w:szCs w:val="24"/>
        </w:rPr>
        <w:lastRenderedPageBreak/>
        <w:t>el carácter de Presidente Municipal y el segundo con el de Síndico. En todo caso se deberá observar que cuando las y los propietarios sean del género femenino, las suplentes deberán ser del mismo género. Se asegurará la paridad horizontal, esto es, cada uno de los géneros encabezará el 50% de las planillas de las y los candidatos a regidurías que contenderán en los municipios del Estado.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27.-</w:t>
      </w:r>
      <w:r w:rsidRPr="00672910">
        <w:rPr>
          <w:rFonts w:ascii="Arial" w:eastAsia="Calibri"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28.-</w:t>
      </w:r>
      <w:r w:rsidRPr="00672910">
        <w:rPr>
          <w:rFonts w:ascii="Arial" w:eastAsia="Calibri"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29.-</w:t>
      </w:r>
      <w:r w:rsidRPr="00672910">
        <w:rPr>
          <w:rFonts w:ascii="Arial" w:eastAsia="Calibri" w:hAnsi="Arial" w:cs="Arial"/>
          <w:sz w:val="24"/>
          <w:szCs w:val="24"/>
        </w:rPr>
        <w:t xml:space="preserve"> Que las solicitudes de las candidaturas se ajustarán a lo dispuesto por el artículo 218 de la LIPEEY.</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30.-</w:t>
      </w:r>
      <w:r w:rsidRPr="00672910">
        <w:rPr>
          <w:rFonts w:ascii="Arial" w:eastAsia="Calibri" w:hAnsi="Arial" w:cs="Arial"/>
          <w:sz w:val="24"/>
          <w:szCs w:val="24"/>
        </w:rPr>
        <w:t xml:space="preserve"> Que de conformidad con el acuerdo C.G.-028/</w:t>
      </w:r>
      <w:r w:rsidR="00CA19C1" w:rsidRPr="00672910">
        <w:rPr>
          <w:rFonts w:ascii="Arial" w:eastAsia="Calibri" w:hAnsi="Arial" w:cs="Arial"/>
          <w:sz w:val="24"/>
          <w:szCs w:val="24"/>
        </w:rPr>
        <w:t>+</w:t>
      </w:r>
      <w:r w:rsidRPr="00672910">
        <w:rPr>
          <w:rFonts w:ascii="Arial" w:eastAsia="Calibri" w:hAnsi="Arial" w:cs="Arial"/>
          <w:sz w:val="24"/>
          <w:szCs w:val="24"/>
        </w:rPr>
        <w:t xml:space="preserve">2020 emitido por el Consejo General del IEPAC, el plazo de registro de las candidaturas para ayuntamientos es el comprendido entre los </w:t>
      </w:r>
      <w:r w:rsidR="00593C65" w:rsidRPr="00672910">
        <w:rPr>
          <w:rFonts w:ascii="Arial" w:eastAsia="Calibri" w:hAnsi="Arial" w:cs="Arial"/>
          <w:sz w:val="24"/>
          <w:szCs w:val="24"/>
        </w:rPr>
        <w:t xml:space="preserve">días treinta y treinta y uno </w:t>
      </w:r>
      <w:r w:rsidRPr="00672910">
        <w:rPr>
          <w:rFonts w:ascii="Arial" w:eastAsia="Calibri" w:hAnsi="Arial" w:cs="Arial"/>
          <w:sz w:val="24"/>
          <w:szCs w:val="24"/>
        </w:rPr>
        <w:t xml:space="preserve">de marzo de </w:t>
      </w:r>
      <w:proofErr w:type="gramStart"/>
      <w:r w:rsidRPr="00672910">
        <w:rPr>
          <w:rFonts w:ascii="Arial" w:eastAsia="Calibri" w:hAnsi="Arial" w:cs="Arial"/>
          <w:sz w:val="24"/>
          <w:szCs w:val="24"/>
        </w:rPr>
        <w:t>dos mil veintiuno</w:t>
      </w:r>
      <w:proofErr w:type="gramEnd"/>
      <w:r w:rsidRPr="00672910">
        <w:rPr>
          <w:rFonts w:ascii="Arial" w:eastAsia="Calibri" w:hAnsi="Arial" w:cs="Arial"/>
          <w:sz w:val="24"/>
          <w:szCs w:val="24"/>
        </w:rPr>
        <w:t xml:space="preserve">. </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31.-</w:t>
      </w:r>
      <w:r w:rsidRPr="00672910">
        <w:rPr>
          <w:rFonts w:ascii="Arial" w:eastAsia="Calibri"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32.-</w:t>
      </w:r>
      <w:r w:rsidR="00266738" w:rsidRPr="00672910">
        <w:rPr>
          <w:rFonts w:ascii="Arial" w:eastAsia="Calibri" w:hAnsi="Arial" w:cs="Arial"/>
          <w:sz w:val="24"/>
          <w:szCs w:val="24"/>
        </w:rPr>
        <w:t xml:space="preserve"> Que con fecha 31 </w:t>
      </w:r>
      <w:r w:rsidRPr="00672910">
        <w:rPr>
          <w:rFonts w:ascii="Arial" w:eastAsia="Calibri" w:hAnsi="Arial" w:cs="Arial"/>
          <w:sz w:val="24"/>
          <w:szCs w:val="24"/>
        </w:rPr>
        <w:t xml:space="preserve">de marzo de dos mil veintiuno, se recibió ante este Consejo Municipal, la solicitud del Partido Político </w:t>
      </w:r>
      <w:r w:rsidR="00562B92" w:rsidRPr="00672910">
        <w:rPr>
          <w:rFonts w:ascii="Arial" w:eastAsia="Calibri" w:hAnsi="Arial" w:cs="Arial"/>
          <w:sz w:val="24"/>
          <w:szCs w:val="24"/>
        </w:rPr>
        <w:t xml:space="preserve">Partido encuentro Solidario </w:t>
      </w:r>
      <w:r w:rsidRPr="00672910">
        <w:rPr>
          <w:rFonts w:ascii="Arial" w:eastAsia="Calibri" w:hAnsi="Arial" w:cs="Arial"/>
          <w:sz w:val="24"/>
          <w:szCs w:val="24"/>
        </w:rPr>
        <w:t>, por medio de la cual se solicita el registro de la planilla de candidatas y candidatos a Regidurías por el Principio de Mayoría Relativa y de Representación Proporcional, propietarios(as) y suplentes, para integrar el H. Ayuntamiento del municipio de Ixil, Yucatán, en las elecciones a realizarse el 6 de junio de dos mil veintiuno, integrada por la siguiente ciudadanía, en el orden que a continuación se enlistan:</w:t>
      </w: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Núm.</w:t>
            </w:r>
          </w:p>
        </w:tc>
        <w:tc>
          <w:tcPr>
            <w:tcW w:w="4025"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REGIDURÍAS DE PROPIETARIOS(AS)</w:t>
            </w:r>
          </w:p>
        </w:tc>
        <w:tc>
          <w:tcPr>
            <w:tcW w:w="4013"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REGIDURÍAS DE SUPLENTES</w:t>
            </w:r>
          </w:p>
        </w:tc>
      </w:tr>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1</w:t>
            </w:r>
          </w:p>
        </w:tc>
        <w:tc>
          <w:tcPr>
            <w:tcW w:w="4025" w:type="dxa"/>
          </w:tcPr>
          <w:p w:rsidR="00620AE3" w:rsidRPr="00672910" w:rsidRDefault="00266738" w:rsidP="00620AE3">
            <w:pPr>
              <w:jc w:val="both"/>
              <w:rPr>
                <w:rFonts w:ascii="Arial" w:eastAsia="Calibri" w:hAnsi="Arial" w:cs="Arial"/>
              </w:rPr>
            </w:pPr>
            <w:r w:rsidRPr="00672910">
              <w:rPr>
                <w:rFonts w:ascii="Arial" w:eastAsia="Calibri" w:hAnsi="Arial" w:cs="Arial"/>
              </w:rPr>
              <w:t>HECTOR MANUEL CASTILLO ÁVILA</w:t>
            </w:r>
          </w:p>
        </w:tc>
        <w:tc>
          <w:tcPr>
            <w:tcW w:w="4013" w:type="dxa"/>
          </w:tcPr>
          <w:p w:rsidR="00620AE3" w:rsidRPr="00672910" w:rsidRDefault="00266738" w:rsidP="00620AE3">
            <w:pPr>
              <w:jc w:val="both"/>
              <w:rPr>
                <w:rFonts w:ascii="Arial" w:eastAsia="Calibri" w:hAnsi="Arial" w:cs="Arial"/>
              </w:rPr>
            </w:pPr>
            <w:r w:rsidRPr="00672910">
              <w:rPr>
                <w:rFonts w:ascii="Arial" w:eastAsia="Calibri" w:hAnsi="Arial" w:cs="Arial"/>
              </w:rPr>
              <w:t>BRAYAN EDUARDO GONZÁLEZ MOGUEL</w:t>
            </w:r>
          </w:p>
        </w:tc>
      </w:tr>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2</w:t>
            </w:r>
          </w:p>
        </w:tc>
        <w:tc>
          <w:tcPr>
            <w:tcW w:w="4025" w:type="dxa"/>
          </w:tcPr>
          <w:p w:rsidR="00620AE3" w:rsidRPr="00672910" w:rsidRDefault="00266738" w:rsidP="00620AE3">
            <w:pPr>
              <w:jc w:val="both"/>
              <w:rPr>
                <w:rFonts w:ascii="Arial" w:eastAsia="Calibri" w:hAnsi="Arial" w:cs="Arial"/>
              </w:rPr>
            </w:pPr>
            <w:r w:rsidRPr="00672910">
              <w:rPr>
                <w:rFonts w:ascii="Arial" w:eastAsia="Calibri" w:hAnsi="Arial" w:cs="Arial"/>
              </w:rPr>
              <w:t>MARÍA GUADALUPE CHAN TEC</w:t>
            </w:r>
          </w:p>
        </w:tc>
        <w:tc>
          <w:tcPr>
            <w:tcW w:w="4013" w:type="dxa"/>
          </w:tcPr>
          <w:p w:rsidR="00620AE3" w:rsidRPr="00672910" w:rsidRDefault="00266738" w:rsidP="00620AE3">
            <w:pPr>
              <w:jc w:val="both"/>
              <w:rPr>
                <w:rFonts w:ascii="Arial" w:eastAsia="Calibri" w:hAnsi="Arial" w:cs="Arial"/>
              </w:rPr>
            </w:pPr>
            <w:r w:rsidRPr="00672910">
              <w:rPr>
                <w:rFonts w:ascii="Arial" w:eastAsia="Calibri" w:hAnsi="Arial" w:cs="Arial"/>
              </w:rPr>
              <w:t>ZELETH SHARAY  CUTZ COBA</w:t>
            </w:r>
          </w:p>
        </w:tc>
      </w:tr>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3</w:t>
            </w:r>
          </w:p>
        </w:tc>
        <w:tc>
          <w:tcPr>
            <w:tcW w:w="4025" w:type="dxa"/>
          </w:tcPr>
          <w:p w:rsidR="00620AE3" w:rsidRPr="00672910" w:rsidRDefault="00266738" w:rsidP="00620AE3">
            <w:pPr>
              <w:jc w:val="both"/>
              <w:rPr>
                <w:rFonts w:ascii="Arial" w:eastAsia="Calibri" w:hAnsi="Arial" w:cs="Arial"/>
              </w:rPr>
            </w:pPr>
            <w:r w:rsidRPr="00672910">
              <w:rPr>
                <w:rFonts w:ascii="Arial" w:eastAsia="Calibri" w:hAnsi="Arial" w:cs="Arial"/>
              </w:rPr>
              <w:t>JESÚS ALEJANDRO TEC BASTO</w:t>
            </w:r>
          </w:p>
        </w:tc>
        <w:tc>
          <w:tcPr>
            <w:tcW w:w="4013" w:type="dxa"/>
          </w:tcPr>
          <w:p w:rsidR="00620AE3" w:rsidRPr="00672910" w:rsidRDefault="00266738" w:rsidP="00620AE3">
            <w:pPr>
              <w:jc w:val="both"/>
              <w:rPr>
                <w:rFonts w:ascii="Arial" w:eastAsia="Calibri" w:hAnsi="Arial" w:cs="Arial"/>
              </w:rPr>
            </w:pPr>
            <w:r w:rsidRPr="00672910">
              <w:rPr>
                <w:rFonts w:ascii="Arial" w:eastAsia="Calibri" w:hAnsi="Arial" w:cs="Arial"/>
              </w:rPr>
              <w:t>GUILLERMO IRINEO CHAN MAY</w:t>
            </w:r>
          </w:p>
        </w:tc>
      </w:tr>
    </w:tbl>
    <w:p w:rsidR="00620AE3" w:rsidRPr="00672910" w:rsidRDefault="00620AE3" w:rsidP="00620AE3">
      <w:pPr>
        <w:jc w:val="both"/>
        <w:rPr>
          <w:rFonts w:ascii="Arial" w:eastAsia="Calibri" w:hAnsi="Arial" w:cs="Arial"/>
          <w:sz w:val="24"/>
          <w:szCs w:val="24"/>
        </w:rPr>
      </w:pPr>
    </w:p>
    <w:p w:rsidR="00266738" w:rsidRPr="00672910" w:rsidRDefault="00266738" w:rsidP="00620AE3">
      <w:pPr>
        <w:jc w:val="center"/>
        <w:rPr>
          <w:rFonts w:ascii="Arial" w:eastAsia="Calibri" w:hAnsi="Arial" w:cs="Arial"/>
          <w:b/>
          <w:bCs/>
          <w:sz w:val="24"/>
          <w:szCs w:val="24"/>
        </w:rPr>
      </w:pPr>
    </w:p>
    <w:p w:rsidR="00266738" w:rsidRPr="00672910" w:rsidRDefault="00266738" w:rsidP="00620AE3">
      <w:pPr>
        <w:jc w:val="center"/>
        <w:rPr>
          <w:rFonts w:ascii="Arial" w:eastAsia="Calibri" w:hAnsi="Arial" w:cs="Arial"/>
          <w:b/>
          <w:bCs/>
          <w:sz w:val="24"/>
          <w:szCs w:val="24"/>
        </w:rPr>
      </w:pP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Núm.</w:t>
            </w:r>
          </w:p>
        </w:tc>
        <w:tc>
          <w:tcPr>
            <w:tcW w:w="4025"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REGIDURÍAS DE PROPIETARIOS(AS)</w:t>
            </w:r>
          </w:p>
        </w:tc>
        <w:tc>
          <w:tcPr>
            <w:tcW w:w="4013"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REGIDURÍAS DE SUPLENTES</w:t>
            </w:r>
          </w:p>
        </w:tc>
      </w:tr>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4</w:t>
            </w:r>
          </w:p>
        </w:tc>
        <w:tc>
          <w:tcPr>
            <w:tcW w:w="4025" w:type="dxa"/>
          </w:tcPr>
          <w:p w:rsidR="00620AE3" w:rsidRPr="00672910" w:rsidRDefault="00266738" w:rsidP="00620AE3">
            <w:pPr>
              <w:jc w:val="both"/>
              <w:rPr>
                <w:rFonts w:ascii="Arial" w:eastAsia="Calibri" w:hAnsi="Arial" w:cs="Arial"/>
              </w:rPr>
            </w:pPr>
            <w:r w:rsidRPr="00672910">
              <w:rPr>
                <w:rFonts w:ascii="Arial" w:eastAsia="Calibri" w:hAnsi="Arial" w:cs="Arial"/>
              </w:rPr>
              <w:t>MARÍA ISABEL CASTILLO COCOM</w:t>
            </w:r>
          </w:p>
        </w:tc>
        <w:tc>
          <w:tcPr>
            <w:tcW w:w="4013" w:type="dxa"/>
          </w:tcPr>
          <w:p w:rsidR="00620AE3" w:rsidRPr="00672910" w:rsidRDefault="00266738" w:rsidP="00620AE3">
            <w:pPr>
              <w:jc w:val="both"/>
              <w:rPr>
                <w:rFonts w:ascii="Arial" w:eastAsia="Calibri" w:hAnsi="Arial" w:cs="Arial"/>
              </w:rPr>
            </w:pPr>
            <w:r w:rsidRPr="00672910">
              <w:rPr>
                <w:rFonts w:ascii="Arial" w:eastAsia="Calibri" w:hAnsi="Arial" w:cs="Arial"/>
              </w:rPr>
              <w:t>REYNA GUADALUPE CETZ CHIM</w:t>
            </w:r>
          </w:p>
        </w:tc>
      </w:tr>
      <w:tr w:rsidR="00620AE3" w:rsidRPr="00672910" w:rsidTr="00002B9C">
        <w:tc>
          <w:tcPr>
            <w:tcW w:w="790"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5</w:t>
            </w:r>
          </w:p>
        </w:tc>
        <w:tc>
          <w:tcPr>
            <w:tcW w:w="4025" w:type="dxa"/>
          </w:tcPr>
          <w:p w:rsidR="00620AE3" w:rsidRPr="00672910" w:rsidRDefault="00266738" w:rsidP="00620AE3">
            <w:pPr>
              <w:jc w:val="both"/>
              <w:rPr>
                <w:rFonts w:ascii="Arial" w:eastAsia="Calibri" w:hAnsi="Arial" w:cs="Arial"/>
              </w:rPr>
            </w:pPr>
            <w:r w:rsidRPr="00672910">
              <w:rPr>
                <w:rFonts w:ascii="Arial" w:eastAsia="Calibri" w:hAnsi="Arial" w:cs="Arial"/>
              </w:rPr>
              <w:t>JESÚS BERNABÉ TUN COBA</w:t>
            </w:r>
          </w:p>
        </w:tc>
        <w:tc>
          <w:tcPr>
            <w:tcW w:w="4013" w:type="dxa"/>
          </w:tcPr>
          <w:p w:rsidR="00620AE3" w:rsidRPr="00672910" w:rsidRDefault="00266738" w:rsidP="00620AE3">
            <w:pPr>
              <w:jc w:val="both"/>
              <w:rPr>
                <w:rFonts w:ascii="Arial" w:eastAsia="Calibri" w:hAnsi="Arial" w:cs="Arial"/>
              </w:rPr>
            </w:pPr>
            <w:r w:rsidRPr="00672910">
              <w:rPr>
                <w:rFonts w:ascii="Arial" w:eastAsia="Calibri" w:hAnsi="Arial" w:cs="Arial"/>
              </w:rPr>
              <w:t>NICOLÁS GUADALUPE AGUILAR PECH</w:t>
            </w:r>
          </w:p>
        </w:tc>
      </w:tr>
    </w:tbl>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33.-</w:t>
      </w:r>
      <w:r w:rsidRPr="00672910">
        <w:rPr>
          <w:rFonts w:ascii="Arial" w:eastAsia="Calibri"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3</w:t>
      </w:r>
      <w:r w:rsidR="00FF7F97" w:rsidRPr="00672910">
        <w:rPr>
          <w:rFonts w:ascii="Arial" w:eastAsia="Calibri" w:hAnsi="Arial" w:cs="Arial"/>
          <w:b/>
          <w:bCs/>
          <w:sz w:val="24"/>
          <w:szCs w:val="24"/>
        </w:rPr>
        <w:t>4</w:t>
      </w:r>
      <w:r w:rsidRPr="00672910">
        <w:rPr>
          <w:rFonts w:ascii="Arial" w:eastAsia="Calibri" w:hAnsi="Arial" w:cs="Arial"/>
          <w:b/>
          <w:bCs/>
          <w:sz w:val="24"/>
          <w:szCs w:val="24"/>
        </w:rPr>
        <w:t>.-</w:t>
      </w:r>
      <w:r w:rsidRPr="00672910">
        <w:rPr>
          <w:rFonts w:ascii="Arial" w:eastAsia="Calibri" w:hAnsi="Arial" w:cs="Arial"/>
          <w:sz w:val="24"/>
          <w:szCs w:val="24"/>
        </w:rPr>
        <w:t xml:space="preserve"> </w:t>
      </w:r>
      <w:proofErr w:type="gramStart"/>
      <w:r w:rsidRPr="00672910">
        <w:rPr>
          <w:rFonts w:ascii="Arial" w:eastAsia="Calibri" w:hAnsi="Arial" w:cs="Arial"/>
          <w:sz w:val="24"/>
          <w:szCs w:val="24"/>
        </w:rPr>
        <w:t>Que</w:t>
      </w:r>
      <w:proofErr w:type="gramEnd"/>
      <w:r w:rsidRPr="00672910">
        <w:rPr>
          <w:rFonts w:ascii="Arial" w:eastAsia="Calibri"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E10B51" w:rsidRPr="00672910">
        <w:rPr>
          <w:rFonts w:ascii="Arial" w:eastAsia="Calibri" w:hAnsi="Arial" w:cs="Arial"/>
          <w:b/>
          <w:sz w:val="24"/>
          <w:szCs w:val="24"/>
        </w:rPr>
        <w:t>Partido Encuentro Solidario</w:t>
      </w:r>
      <w:r w:rsidRPr="00672910">
        <w:rPr>
          <w:rFonts w:ascii="Arial" w:eastAsia="Calibri" w:hAnsi="Arial" w:cs="Arial"/>
          <w:sz w:val="24"/>
          <w:szCs w:val="24"/>
        </w:rPr>
        <w:t>, para integrar el H. Ayuntamiento del municipio de Ixil, Yucatán, en las elecciones a realizarse el día seis de junio de dos mil veintiuno.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Por lo anteriormente expuesto y fundado, el Consejo Electoral Municipal de Ixil, Yucatán, emite el siguiente:</w:t>
      </w: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ACUERDO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PRIMERO. -</w:t>
      </w:r>
      <w:r w:rsidRPr="00672910">
        <w:rPr>
          <w:rFonts w:ascii="Arial" w:eastAsia="Calibri" w:hAnsi="Arial" w:cs="Arial"/>
          <w:sz w:val="24"/>
          <w:szCs w:val="24"/>
        </w:rPr>
        <w:t xml:space="preserve"> Se </w:t>
      </w:r>
      <w:r w:rsidRPr="00672910">
        <w:rPr>
          <w:rFonts w:ascii="Arial" w:eastAsia="Calibri" w:hAnsi="Arial" w:cs="Arial"/>
          <w:b/>
          <w:bCs/>
          <w:sz w:val="24"/>
          <w:szCs w:val="24"/>
        </w:rPr>
        <w:t>registra</w:t>
      </w:r>
      <w:r w:rsidRPr="00672910">
        <w:rPr>
          <w:rFonts w:ascii="Arial" w:eastAsia="Calibri" w:hAnsi="Arial" w:cs="Arial"/>
          <w:sz w:val="24"/>
          <w:szCs w:val="24"/>
        </w:rPr>
        <w:t xml:space="preserve"> la planilla de candidaturas a Regidurías por el principio de mayoría relativa y de representación proporcional, postulada por el Partido Político </w:t>
      </w:r>
      <w:r w:rsidR="00E10B51" w:rsidRPr="00672910">
        <w:rPr>
          <w:rFonts w:ascii="Arial" w:eastAsia="Calibri" w:hAnsi="Arial" w:cs="Arial"/>
          <w:b/>
          <w:sz w:val="24"/>
          <w:szCs w:val="24"/>
        </w:rPr>
        <w:t>Partido Encuentro Solidario</w:t>
      </w:r>
      <w:proofErr w:type="gramStart"/>
      <w:r w:rsidR="00E10B51" w:rsidRPr="00672910">
        <w:rPr>
          <w:rFonts w:ascii="Arial" w:eastAsia="Calibri" w:hAnsi="Arial" w:cs="Arial"/>
          <w:sz w:val="24"/>
          <w:szCs w:val="24"/>
        </w:rPr>
        <w:t xml:space="preserve">, </w:t>
      </w:r>
      <w:r w:rsidRPr="00672910">
        <w:rPr>
          <w:rFonts w:ascii="Arial" w:eastAsia="Calibri" w:hAnsi="Arial" w:cs="Arial"/>
          <w:sz w:val="24"/>
          <w:szCs w:val="24"/>
        </w:rPr>
        <w:t>,</w:t>
      </w:r>
      <w:proofErr w:type="gramEnd"/>
      <w:r w:rsidRPr="00672910">
        <w:rPr>
          <w:rFonts w:ascii="Arial" w:eastAsia="Calibri" w:hAnsi="Arial" w:cs="Arial"/>
          <w:sz w:val="24"/>
          <w:szCs w:val="24"/>
        </w:rPr>
        <w:t xml:space="preserve"> en el Proceso Electoral Ordinario 2020-2021 para integrar el H. Ayuntamiento de Ixil, Yucatán, la cual se encuentra conformada por la siguiente ciudadanía en el orden que a continuación se mención:</w:t>
      </w: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20AE3" w:rsidRPr="00672910" w:rsidTr="00002B9C">
        <w:tc>
          <w:tcPr>
            <w:tcW w:w="816"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Núm.</w:t>
            </w:r>
          </w:p>
        </w:tc>
        <w:tc>
          <w:tcPr>
            <w:tcW w:w="4141"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REGIDURÍAS DE PROPIETARIOS (AS)</w:t>
            </w:r>
          </w:p>
        </w:tc>
        <w:tc>
          <w:tcPr>
            <w:tcW w:w="3871" w:type="dxa"/>
          </w:tcPr>
          <w:p w:rsidR="00620AE3" w:rsidRPr="00672910" w:rsidRDefault="00620AE3" w:rsidP="00620AE3">
            <w:pPr>
              <w:jc w:val="both"/>
              <w:rPr>
                <w:rFonts w:ascii="Arial" w:eastAsia="Calibri" w:hAnsi="Arial" w:cs="Arial"/>
                <w:b/>
                <w:bCs/>
                <w:sz w:val="20"/>
                <w:szCs w:val="24"/>
              </w:rPr>
            </w:pPr>
            <w:r w:rsidRPr="00672910">
              <w:rPr>
                <w:rFonts w:ascii="Arial" w:eastAsia="Calibri" w:hAnsi="Arial" w:cs="Arial"/>
                <w:b/>
                <w:bCs/>
                <w:sz w:val="20"/>
                <w:szCs w:val="24"/>
              </w:rPr>
              <w:t>REGIDURÍAS DE SUPLENTES</w:t>
            </w:r>
          </w:p>
        </w:tc>
      </w:tr>
      <w:tr w:rsidR="00FF7F97" w:rsidRPr="00672910" w:rsidTr="00002B9C">
        <w:tc>
          <w:tcPr>
            <w:tcW w:w="816" w:type="dxa"/>
          </w:tcPr>
          <w:p w:rsidR="00FF7F97" w:rsidRPr="00672910" w:rsidRDefault="00FF7F97" w:rsidP="00FF7F97">
            <w:pPr>
              <w:jc w:val="both"/>
              <w:rPr>
                <w:rFonts w:ascii="Arial" w:eastAsia="Calibri" w:hAnsi="Arial" w:cs="Arial"/>
                <w:sz w:val="24"/>
                <w:szCs w:val="24"/>
              </w:rPr>
            </w:pPr>
            <w:r w:rsidRPr="00672910">
              <w:rPr>
                <w:rFonts w:ascii="Arial" w:eastAsia="Calibri" w:hAnsi="Arial" w:cs="Arial"/>
                <w:sz w:val="24"/>
                <w:szCs w:val="24"/>
              </w:rPr>
              <w:t>1</w:t>
            </w:r>
          </w:p>
        </w:tc>
        <w:tc>
          <w:tcPr>
            <w:tcW w:w="4141" w:type="dxa"/>
          </w:tcPr>
          <w:p w:rsidR="00FF7F97" w:rsidRPr="00672910" w:rsidRDefault="00266738" w:rsidP="00FF7F97">
            <w:pPr>
              <w:jc w:val="both"/>
              <w:rPr>
                <w:rFonts w:ascii="Arial" w:eastAsia="Calibri" w:hAnsi="Arial" w:cs="Arial"/>
              </w:rPr>
            </w:pPr>
            <w:r w:rsidRPr="00672910">
              <w:rPr>
                <w:rFonts w:ascii="Arial" w:eastAsia="Calibri" w:hAnsi="Arial" w:cs="Arial"/>
              </w:rPr>
              <w:t>HECTOR MANUEL CASTILLO ÁVILA</w:t>
            </w:r>
          </w:p>
        </w:tc>
        <w:tc>
          <w:tcPr>
            <w:tcW w:w="3871" w:type="dxa"/>
          </w:tcPr>
          <w:p w:rsidR="00FF7F97" w:rsidRPr="00672910" w:rsidRDefault="00266738" w:rsidP="00FF7F97">
            <w:pPr>
              <w:jc w:val="both"/>
              <w:rPr>
                <w:rFonts w:ascii="Arial" w:eastAsia="Calibri" w:hAnsi="Arial" w:cs="Arial"/>
              </w:rPr>
            </w:pPr>
            <w:r w:rsidRPr="00672910">
              <w:rPr>
                <w:rFonts w:ascii="Arial" w:eastAsia="Calibri" w:hAnsi="Arial" w:cs="Arial"/>
              </w:rPr>
              <w:t>BRAYAN EDUARDO GONZÁLEZ MOGUEL</w:t>
            </w:r>
          </w:p>
        </w:tc>
      </w:tr>
      <w:tr w:rsidR="00FF7F97" w:rsidRPr="00672910" w:rsidTr="00002B9C">
        <w:tc>
          <w:tcPr>
            <w:tcW w:w="816" w:type="dxa"/>
          </w:tcPr>
          <w:p w:rsidR="00FF7F97" w:rsidRPr="00672910" w:rsidRDefault="00FF7F97" w:rsidP="00FF7F97">
            <w:pPr>
              <w:jc w:val="both"/>
              <w:rPr>
                <w:rFonts w:ascii="Arial" w:eastAsia="Calibri" w:hAnsi="Arial" w:cs="Arial"/>
                <w:sz w:val="24"/>
                <w:szCs w:val="24"/>
              </w:rPr>
            </w:pPr>
            <w:r w:rsidRPr="00672910">
              <w:rPr>
                <w:rFonts w:ascii="Arial" w:eastAsia="Calibri" w:hAnsi="Arial" w:cs="Arial"/>
                <w:sz w:val="24"/>
                <w:szCs w:val="24"/>
              </w:rPr>
              <w:t>2</w:t>
            </w:r>
          </w:p>
        </w:tc>
        <w:tc>
          <w:tcPr>
            <w:tcW w:w="4141" w:type="dxa"/>
          </w:tcPr>
          <w:p w:rsidR="00FF7F97" w:rsidRPr="00672910" w:rsidRDefault="00266738" w:rsidP="00FF7F97">
            <w:pPr>
              <w:jc w:val="both"/>
              <w:rPr>
                <w:rFonts w:ascii="Arial" w:eastAsia="Calibri" w:hAnsi="Arial" w:cs="Arial"/>
              </w:rPr>
            </w:pPr>
            <w:r w:rsidRPr="00672910">
              <w:rPr>
                <w:rFonts w:ascii="Arial" w:eastAsia="Calibri" w:hAnsi="Arial" w:cs="Arial"/>
              </w:rPr>
              <w:t>MARÍA GUADALUPE CHAN TEC</w:t>
            </w:r>
          </w:p>
        </w:tc>
        <w:tc>
          <w:tcPr>
            <w:tcW w:w="3871" w:type="dxa"/>
          </w:tcPr>
          <w:p w:rsidR="00FF7F97" w:rsidRPr="00672910" w:rsidRDefault="00266738" w:rsidP="00FF7F97">
            <w:pPr>
              <w:jc w:val="both"/>
              <w:rPr>
                <w:rFonts w:ascii="Arial" w:eastAsia="Calibri" w:hAnsi="Arial" w:cs="Arial"/>
              </w:rPr>
            </w:pPr>
            <w:r w:rsidRPr="00672910">
              <w:rPr>
                <w:rFonts w:ascii="Arial" w:eastAsia="Calibri" w:hAnsi="Arial" w:cs="Arial"/>
              </w:rPr>
              <w:t>ZELETH SHARAY  CUTZ COBA</w:t>
            </w:r>
          </w:p>
        </w:tc>
      </w:tr>
      <w:tr w:rsidR="00FF7F97" w:rsidRPr="00672910" w:rsidTr="00002B9C">
        <w:tc>
          <w:tcPr>
            <w:tcW w:w="816" w:type="dxa"/>
          </w:tcPr>
          <w:p w:rsidR="00FF7F97" w:rsidRPr="00672910" w:rsidRDefault="00FF7F97" w:rsidP="00FF7F97">
            <w:pPr>
              <w:jc w:val="both"/>
              <w:rPr>
                <w:rFonts w:ascii="Arial" w:eastAsia="Calibri" w:hAnsi="Arial" w:cs="Arial"/>
                <w:sz w:val="24"/>
                <w:szCs w:val="24"/>
              </w:rPr>
            </w:pPr>
            <w:r w:rsidRPr="00672910">
              <w:rPr>
                <w:rFonts w:ascii="Arial" w:eastAsia="Calibri" w:hAnsi="Arial" w:cs="Arial"/>
                <w:sz w:val="24"/>
                <w:szCs w:val="24"/>
              </w:rPr>
              <w:t>3</w:t>
            </w:r>
          </w:p>
        </w:tc>
        <w:tc>
          <w:tcPr>
            <w:tcW w:w="4141" w:type="dxa"/>
          </w:tcPr>
          <w:p w:rsidR="00FF7F97" w:rsidRPr="00672910" w:rsidRDefault="00266738" w:rsidP="00FF7F97">
            <w:pPr>
              <w:jc w:val="both"/>
              <w:rPr>
                <w:rFonts w:ascii="Arial" w:eastAsia="Calibri" w:hAnsi="Arial" w:cs="Arial"/>
              </w:rPr>
            </w:pPr>
            <w:r w:rsidRPr="00672910">
              <w:rPr>
                <w:rFonts w:ascii="Arial" w:eastAsia="Calibri" w:hAnsi="Arial" w:cs="Arial"/>
              </w:rPr>
              <w:t>JESÚS ALEJANDRO TEC BASTO</w:t>
            </w:r>
          </w:p>
        </w:tc>
        <w:tc>
          <w:tcPr>
            <w:tcW w:w="3871" w:type="dxa"/>
          </w:tcPr>
          <w:p w:rsidR="00FF7F97" w:rsidRPr="00672910" w:rsidRDefault="00266738" w:rsidP="00FF7F97">
            <w:pPr>
              <w:jc w:val="both"/>
              <w:rPr>
                <w:rFonts w:ascii="Arial" w:eastAsia="Calibri" w:hAnsi="Arial" w:cs="Arial"/>
              </w:rPr>
            </w:pPr>
            <w:r w:rsidRPr="00672910">
              <w:rPr>
                <w:rFonts w:ascii="Arial" w:eastAsia="Calibri" w:hAnsi="Arial" w:cs="Arial"/>
              </w:rPr>
              <w:t>GUILLERMO IRINEO CHAN MAY</w:t>
            </w:r>
          </w:p>
        </w:tc>
      </w:tr>
    </w:tbl>
    <w:p w:rsidR="00620AE3" w:rsidRPr="00672910" w:rsidRDefault="00620AE3" w:rsidP="00620AE3">
      <w:pPr>
        <w:jc w:val="both"/>
        <w:rPr>
          <w:rFonts w:ascii="Arial" w:eastAsia="Calibri" w:hAnsi="Arial" w:cs="Arial"/>
          <w:sz w:val="24"/>
          <w:szCs w:val="24"/>
        </w:rPr>
      </w:pPr>
    </w:p>
    <w:p w:rsidR="00266738" w:rsidRPr="00672910" w:rsidRDefault="00266738" w:rsidP="00620AE3">
      <w:pPr>
        <w:jc w:val="both"/>
        <w:rPr>
          <w:rFonts w:ascii="Arial" w:eastAsia="Calibri" w:hAnsi="Arial" w:cs="Arial"/>
          <w:b/>
          <w:bCs/>
          <w:sz w:val="24"/>
          <w:szCs w:val="24"/>
        </w:rPr>
      </w:pPr>
    </w:p>
    <w:p w:rsidR="00266738" w:rsidRPr="00672910" w:rsidRDefault="00266738" w:rsidP="00620AE3">
      <w:pPr>
        <w:jc w:val="both"/>
        <w:rPr>
          <w:rFonts w:ascii="Arial" w:eastAsia="Calibri" w:hAnsi="Arial" w:cs="Arial"/>
          <w:b/>
          <w:bCs/>
          <w:sz w:val="24"/>
          <w:szCs w:val="24"/>
        </w:rPr>
      </w:pPr>
    </w:p>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20AE3" w:rsidRPr="00672910" w:rsidTr="00002B9C">
        <w:tc>
          <w:tcPr>
            <w:tcW w:w="816"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4"/>
                <w:szCs w:val="24"/>
              </w:rPr>
              <w:t>Núm.</w:t>
            </w:r>
          </w:p>
        </w:tc>
        <w:tc>
          <w:tcPr>
            <w:tcW w:w="4141"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0"/>
                <w:szCs w:val="24"/>
              </w:rPr>
              <w:t>REGIDURÍAS DE PROPIETARIOS (AS)</w:t>
            </w:r>
          </w:p>
        </w:tc>
        <w:tc>
          <w:tcPr>
            <w:tcW w:w="3871" w:type="dxa"/>
          </w:tcPr>
          <w:p w:rsidR="00620AE3" w:rsidRPr="00672910" w:rsidRDefault="00620AE3" w:rsidP="00620AE3">
            <w:pPr>
              <w:jc w:val="both"/>
              <w:rPr>
                <w:rFonts w:ascii="Arial" w:eastAsia="Calibri" w:hAnsi="Arial" w:cs="Arial"/>
                <w:b/>
                <w:bCs/>
                <w:sz w:val="24"/>
                <w:szCs w:val="24"/>
              </w:rPr>
            </w:pPr>
            <w:r w:rsidRPr="00672910">
              <w:rPr>
                <w:rFonts w:ascii="Arial" w:eastAsia="Calibri" w:hAnsi="Arial" w:cs="Arial"/>
                <w:b/>
                <w:bCs/>
                <w:sz w:val="20"/>
                <w:szCs w:val="24"/>
              </w:rPr>
              <w:t>REGIDURÍAS DE SUPLENTES</w:t>
            </w:r>
          </w:p>
        </w:tc>
      </w:tr>
      <w:tr w:rsidR="00FF7F97" w:rsidRPr="00672910" w:rsidTr="00002B9C">
        <w:tc>
          <w:tcPr>
            <w:tcW w:w="816" w:type="dxa"/>
          </w:tcPr>
          <w:p w:rsidR="00FF7F97" w:rsidRPr="00672910" w:rsidRDefault="00FF7F97" w:rsidP="00FF7F97">
            <w:pPr>
              <w:jc w:val="both"/>
              <w:rPr>
                <w:rFonts w:ascii="Arial" w:eastAsia="Calibri" w:hAnsi="Arial" w:cs="Arial"/>
                <w:sz w:val="24"/>
                <w:szCs w:val="24"/>
              </w:rPr>
            </w:pPr>
            <w:r w:rsidRPr="00672910">
              <w:rPr>
                <w:rFonts w:ascii="Arial" w:eastAsia="Calibri" w:hAnsi="Arial" w:cs="Arial"/>
                <w:sz w:val="24"/>
                <w:szCs w:val="24"/>
              </w:rPr>
              <w:t>4</w:t>
            </w:r>
          </w:p>
        </w:tc>
        <w:tc>
          <w:tcPr>
            <w:tcW w:w="4141" w:type="dxa"/>
          </w:tcPr>
          <w:p w:rsidR="00FF7F97" w:rsidRPr="00672910" w:rsidRDefault="00266738" w:rsidP="00FF7F97">
            <w:pPr>
              <w:jc w:val="both"/>
              <w:rPr>
                <w:rFonts w:ascii="Arial" w:eastAsia="Calibri" w:hAnsi="Arial" w:cs="Arial"/>
              </w:rPr>
            </w:pPr>
            <w:r w:rsidRPr="00672910">
              <w:rPr>
                <w:rFonts w:ascii="Arial" w:eastAsia="Calibri" w:hAnsi="Arial" w:cs="Arial"/>
              </w:rPr>
              <w:t>MARÍA ISABEL CASTILLO COCOM</w:t>
            </w:r>
          </w:p>
        </w:tc>
        <w:tc>
          <w:tcPr>
            <w:tcW w:w="3871" w:type="dxa"/>
          </w:tcPr>
          <w:p w:rsidR="00FF7F97" w:rsidRPr="00672910" w:rsidRDefault="00266738" w:rsidP="00FF7F97">
            <w:pPr>
              <w:jc w:val="both"/>
              <w:rPr>
                <w:rFonts w:ascii="Arial" w:eastAsia="Calibri" w:hAnsi="Arial" w:cs="Arial"/>
              </w:rPr>
            </w:pPr>
            <w:r w:rsidRPr="00672910">
              <w:rPr>
                <w:rFonts w:ascii="Arial" w:eastAsia="Calibri" w:hAnsi="Arial" w:cs="Arial"/>
              </w:rPr>
              <w:t>REYNA GUADALUPE CETZ CHIM</w:t>
            </w:r>
          </w:p>
        </w:tc>
      </w:tr>
      <w:tr w:rsidR="00FF7F97" w:rsidRPr="00672910" w:rsidTr="00002B9C">
        <w:tc>
          <w:tcPr>
            <w:tcW w:w="816" w:type="dxa"/>
          </w:tcPr>
          <w:p w:rsidR="00FF7F97" w:rsidRPr="00672910" w:rsidRDefault="00FF7F97" w:rsidP="00FF7F97">
            <w:pPr>
              <w:jc w:val="both"/>
              <w:rPr>
                <w:rFonts w:ascii="Arial" w:eastAsia="Calibri" w:hAnsi="Arial" w:cs="Arial"/>
                <w:sz w:val="24"/>
                <w:szCs w:val="24"/>
              </w:rPr>
            </w:pPr>
            <w:r w:rsidRPr="00672910">
              <w:rPr>
                <w:rFonts w:ascii="Arial" w:eastAsia="Calibri" w:hAnsi="Arial" w:cs="Arial"/>
                <w:sz w:val="24"/>
                <w:szCs w:val="24"/>
              </w:rPr>
              <w:t>5</w:t>
            </w:r>
          </w:p>
        </w:tc>
        <w:tc>
          <w:tcPr>
            <w:tcW w:w="4141" w:type="dxa"/>
          </w:tcPr>
          <w:p w:rsidR="00FF7F97" w:rsidRPr="00672910" w:rsidRDefault="00266738" w:rsidP="00FF7F97">
            <w:pPr>
              <w:jc w:val="both"/>
              <w:rPr>
                <w:rFonts w:ascii="Arial" w:eastAsia="Calibri" w:hAnsi="Arial" w:cs="Arial"/>
              </w:rPr>
            </w:pPr>
            <w:r w:rsidRPr="00672910">
              <w:rPr>
                <w:rFonts w:ascii="Arial" w:eastAsia="Calibri" w:hAnsi="Arial" w:cs="Arial"/>
              </w:rPr>
              <w:t>JESÚS BERNABÉ TUN COBA</w:t>
            </w:r>
          </w:p>
        </w:tc>
        <w:tc>
          <w:tcPr>
            <w:tcW w:w="3871" w:type="dxa"/>
          </w:tcPr>
          <w:p w:rsidR="00FF7F97" w:rsidRPr="00672910" w:rsidRDefault="00266738" w:rsidP="00FF7F97">
            <w:pPr>
              <w:jc w:val="both"/>
              <w:rPr>
                <w:rFonts w:ascii="Arial" w:eastAsia="Calibri" w:hAnsi="Arial" w:cs="Arial"/>
              </w:rPr>
            </w:pPr>
            <w:r w:rsidRPr="00672910">
              <w:rPr>
                <w:rFonts w:ascii="Arial" w:eastAsia="Calibri" w:hAnsi="Arial" w:cs="Arial"/>
              </w:rPr>
              <w:t>NICOLÁS GUADALUPE AGUILAR PECH</w:t>
            </w:r>
          </w:p>
        </w:tc>
      </w:tr>
    </w:tbl>
    <w:p w:rsidR="00620AE3" w:rsidRPr="00672910" w:rsidRDefault="00620AE3" w:rsidP="00620AE3">
      <w:pPr>
        <w:jc w:val="both"/>
        <w:rPr>
          <w:rFonts w:ascii="Arial" w:eastAsia="Calibri" w:hAnsi="Arial" w:cs="Arial"/>
          <w:b/>
          <w:bCs/>
          <w:sz w:val="24"/>
          <w:szCs w:val="24"/>
        </w:rPr>
      </w:pP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SEGUNDO. -</w:t>
      </w:r>
      <w:r w:rsidRPr="00672910">
        <w:rPr>
          <w:rFonts w:ascii="Arial" w:eastAsia="Calibri" w:hAnsi="Arial" w:cs="Arial"/>
          <w:sz w:val="24"/>
          <w:szCs w:val="24"/>
        </w:rPr>
        <w:t xml:space="preserve"> Se </w:t>
      </w:r>
      <w:r w:rsidRPr="00672910">
        <w:rPr>
          <w:rFonts w:ascii="Arial" w:eastAsia="Calibri" w:hAnsi="Arial" w:cs="Arial"/>
          <w:b/>
          <w:bCs/>
          <w:sz w:val="24"/>
          <w:szCs w:val="24"/>
        </w:rPr>
        <w:t>exhorta</w:t>
      </w:r>
      <w:r w:rsidRPr="00672910">
        <w:rPr>
          <w:rFonts w:ascii="Arial" w:eastAsia="Calibri"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TERCERO. –</w:t>
      </w:r>
      <w:r w:rsidRPr="00672910">
        <w:rPr>
          <w:rFonts w:ascii="Arial" w:eastAsia="Calibri" w:hAnsi="Arial" w:cs="Arial"/>
          <w:sz w:val="24"/>
          <w:szCs w:val="24"/>
        </w:rPr>
        <w:t xml:space="preserve"> Se </w:t>
      </w:r>
      <w:r w:rsidRPr="00672910">
        <w:rPr>
          <w:rFonts w:ascii="Arial" w:eastAsia="Calibri" w:hAnsi="Arial" w:cs="Arial"/>
          <w:b/>
          <w:bCs/>
          <w:sz w:val="24"/>
          <w:szCs w:val="24"/>
        </w:rPr>
        <w:t>exhorta</w:t>
      </w:r>
      <w:r w:rsidRPr="00672910">
        <w:rPr>
          <w:rFonts w:ascii="Arial" w:eastAsia="Calibri"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 </w:t>
      </w:r>
      <w:proofErr w:type="gramStart"/>
      <w:r w:rsidRPr="00672910">
        <w:rPr>
          <w:rFonts w:ascii="Arial" w:eastAsia="Calibri" w:hAnsi="Arial" w:cs="Arial"/>
          <w:sz w:val="24"/>
          <w:szCs w:val="24"/>
        </w:rPr>
        <w:t>dos mil veintiuno</w:t>
      </w:r>
      <w:proofErr w:type="gramEnd"/>
      <w:r w:rsidRPr="00672910">
        <w:rPr>
          <w:rFonts w:ascii="Arial" w:eastAsia="Calibri" w:hAnsi="Arial" w:cs="Arial"/>
          <w:sz w:val="24"/>
          <w:szCs w:val="24"/>
        </w:rPr>
        <w:t xml:space="preserve"> y concluirá el día dos de junio de dos mil veintiuno, prevenidos que su incumplimiento dará lugar a las sanciones legales correspondientes.</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CUARTO. –</w:t>
      </w:r>
      <w:r w:rsidRPr="00672910">
        <w:rPr>
          <w:rFonts w:ascii="Arial" w:eastAsia="Calibri" w:hAnsi="Arial" w:cs="Arial"/>
          <w:sz w:val="24"/>
          <w:szCs w:val="24"/>
        </w:rPr>
        <w:t xml:space="preserve"> Remítase copia del presente Acuerdo al Consejo General del IEPAC, en términos de lo dispuesto en la fracción IV del artículo 219 de la LIPEEY, para su debido conocimiento.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 xml:space="preserve">QUINTO. – </w:t>
      </w:r>
      <w:r w:rsidRPr="00672910">
        <w:rPr>
          <w:rFonts w:ascii="Arial" w:eastAsia="Calibri" w:hAnsi="Arial" w:cs="Arial"/>
          <w:sz w:val="24"/>
          <w:szCs w:val="24"/>
        </w:rPr>
        <w:t xml:space="preserve">Notifíquese el presente Acuerdo al Partido Político </w:t>
      </w:r>
      <w:r w:rsidR="00E10B51" w:rsidRPr="00672910">
        <w:rPr>
          <w:rFonts w:ascii="Arial" w:eastAsia="Calibri" w:hAnsi="Arial" w:cs="Arial"/>
          <w:b/>
          <w:sz w:val="24"/>
          <w:szCs w:val="24"/>
        </w:rPr>
        <w:t xml:space="preserve">Partido Encuentro </w:t>
      </w:r>
      <w:r w:rsidR="00266738" w:rsidRPr="00672910">
        <w:rPr>
          <w:rFonts w:ascii="Arial" w:eastAsia="Calibri" w:hAnsi="Arial" w:cs="Arial"/>
          <w:b/>
          <w:sz w:val="24"/>
          <w:szCs w:val="24"/>
        </w:rPr>
        <w:t>Solidario</w:t>
      </w:r>
      <w:r w:rsidR="00266738" w:rsidRPr="00672910">
        <w:rPr>
          <w:rFonts w:ascii="Arial" w:eastAsia="Calibri" w:hAnsi="Arial" w:cs="Arial"/>
          <w:sz w:val="24"/>
          <w:szCs w:val="24"/>
        </w:rPr>
        <w:t>, para</w:t>
      </w:r>
      <w:r w:rsidRPr="00672910">
        <w:rPr>
          <w:rFonts w:ascii="Arial" w:eastAsia="Calibri" w:hAnsi="Arial" w:cs="Arial"/>
          <w:sz w:val="24"/>
          <w:szCs w:val="24"/>
        </w:rPr>
        <w:t xml:space="preserve"> su debido conocimiento.</w:t>
      </w:r>
    </w:p>
    <w:p w:rsidR="00620AE3" w:rsidRPr="00672910" w:rsidRDefault="00620AE3" w:rsidP="00620AE3">
      <w:pPr>
        <w:jc w:val="both"/>
        <w:rPr>
          <w:rFonts w:ascii="Arial" w:eastAsia="Calibri" w:hAnsi="Arial" w:cs="Arial"/>
          <w:sz w:val="24"/>
          <w:szCs w:val="24"/>
        </w:rPr>
      </w:pPr>
      <w:r w:rsidRPr="00672910">
        <w:rPr>
          <w:rFonts w:ascii="Arial" w:eastAsia="Calibri" w:hAnsi="Arial" w:cs="Arial"/>
          <w:b/>
          <w:bCs/>
          <w:sz w:val="24"/>
          <w:szCs w:val="24"/>
        </w:rPr>
        <w:t>SEXTO. -</w:t>
      </w:r>
      <w:r w:rsidRPr="00672910">
        <w:rPr>
          <w:rFonts w:ascii="Arial" w:eastAsia="Calibri" w:hAnsi="Arial" w:cs="Arial"/>
          <w:sz w:val="24"/>
          <w:szCs w:val="24"/>
        </w:rPr>
        <w:t xml:space="preserve"> Notifíquese el presente Acuerdo mediante estrados de este Consejo Municipal para los fines legales correspondientes.</w:t>
      </w: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sz w:val="24"/>
          <w:szCs w:val="24"/>
        </w:rPr>
      </w:pPr>
      <w:r w:rsidRPr="00672910">
        <w:rPr>
          <w:rFonts w:ascii="Arial" w:eastAsia="Calibri" w:hAnsi="Arial" w:cs="Arial"/>
          <w:sz w:val="24"/>
          <w:szCs w:val="24"/>
        </w:rPr>
        <w:t xml:space="preserve">Este acuerdo fue aprobado en sesión extraordinaria del Consejo Electoral Municipal de Ixil, Yucatán, celebrada el día </w:t>
      </w:r>
      <w:r w:rsidR="00266738" w:rsidRPr="00672910">
        <w:rPr>
          <w:rFonts w:ascii="Arial" w:eastAsia="Calibri" w:hAnsi="Arial" w:cs="Arial"/>
          <w:sz w:val="24"/>
          <w:szCs w:val="24"/>
        </w:rPr>
        <w:t>sábado</w:t>
      </w:r>
      <w:r w:rsidRPr="00672910">
        <w:rPr>
          <w:rFonts w:ascii="Arial" w:eastAsia="Calibri" w:hAnsi="Arial" w:cs="Arial"/>
          <w:sz w:val="24"/>
          <w:szCs w:val="24"/>
        </w:rPr>
        <w:t xml:space="preserve"> 3 de abril de dos mil veintiunos, por tres votos de los Consejeras y Consejeros Electorales. C. Matilde del Rosario Chim Coba, C. José Francisco Pech Cutz, </w:t>
      </w:r>
      <w:r w:rsidR="00FF7F97" w:rsidRPr="00672910">
        <w:rPr>
          <w:rFonts w:ascii="Arial" w:eastAsia="Calibri" w:hAnsi="Arial" w:cs="Arial"/>
          <w:sz w:val="24"/>
          <w:szCs w:val="24"/>
        </w:rPr>
        <w:t>C</w:t>
      </w:r>
      <w:r w:rsidRPr="00672910">
        <w:rPr>
          <w:rFonts w:ascii="Arial" w:eastAsia="Calibri" w:hAnsi="Arial" w:cs="Arial"/>
          <w:sz w:val="24"/>
          <w:szCs w:val="24"/>
        </w:rPr>
        <w:t>onsejera</w:t>
      </w:r>
      <w:r w:rsidR="00FF7F97" w:rsidRPr="00672910">
        <w:rPr>
          <w:rFonts w:ascii="Arial" w:eastAsia="Calibri" w:hAnsi="Arial" w:cs="Arial"/>
          <w:sz w:val="24"/>
          <w:szCs w:val="24"/>
        </w:rPr>
        <w:t xml:space="preserve"> Presidente</w:t>
      </w:r>
      <w:r w:rsidRPr="00672910">
        <w:rPr>
          <w:rFonts w:ascii="Arial" w:eastAsia="Calibri" w:hAnsi="Arial" w:cs="Arial"/>
          <w:sz w:val="24"/>
          <w:szCs w:val="24"/>
        </w:rPr>
        <w:t xml:space="preserve">, </w:t>
      </w:r>
      <w:r w:rsidR="00266738" w:rsidRPr="00672910">
        <w:rPr>
          <w:rFonts w:ascii="Arial" w:eastAsia="Calibri" w:hAnsi="Arial" w:cs="Arial"/>
          <w:sz w:val="24"/>
          <w:szCs w:val="24"/>
        </w:rPr>
        <w:t>C. Lilia Guillermina Tec Aguilar.</w:t>
      </w:r>
    </w:p>
    <w:p w:rsidR="00620AE3" w:rsidRPr="00672910" w:rsidRDefault="00620AE3" w:rsidP="00620AE3">
      <w:pPr>
        <w:jc w:val="both"/>
        <w:rPr>
          <w:rFonts w:ascii="Arial" w:eastAsia="Calibri" w:hAnsi="Arial" w:cs="Arial"/>
          <w:sz w:val="24"/>
          <w:szCs w:val="24"/>
        </w:rPr>
      </w:pPr>
    </w:p>
    <w:p w:rsidR="00620AE3" w:rsidRPr="00672910" w:rsidRDefault="00620AE3" w:rsidP="00620AE3">
      <w:pPr>
        <w:jc w:val="both"/>
        <w:rPr>
          <w:rFonts w:ascii="Arial" w:eastAsia="Calibri"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20AE3" w:rsidRPr="00672910" w:rsidTr="00002B9C">
        <w:tc>
          <w:tcPr>
            <w:tcW w:w="4414"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14:anchorId="656D3FC9" wp14:editId="2B34F902">
                      <wp:simplePos x="0" y="0"/>
                      <wp:positionH relativeFrom="column">
                        <wp:posOffset>120015</wp:posOffset>
                      </wp:positionH>
                      <wp:positionV relativeFrom="paragraph">
                        <wp:posOffset>140970</wp:posOffset>
                      </wp:positionV>
                      <wp:extent cx="243840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2438400" cy="95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42178BC" id="Conector recto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5pt,11.1pt" to="201.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2Zv1AEAAJEDAAAOAAAAZHJzL2Uyb0RvYy54bWysU01v2zAMvQ/ofxB0b5ykTZEZcXpI0F2G&#10;LcDa3VlZigXoC6IWJ/9+pJIF2XYb5oPMD/GZ75FePR+9Ewed0cbQydlkKoUOKvY27Dv59vpyv5QC&#10;C4QeXAy6kyeN8nl992E1plbP4xBdr7MgkIDtmDo5lJLapkE1aA84iUkHSpqYPRRy877pM4yE7l0z&#10;n06fmjHmPuWoNCJFt+ekXFd8Y7QqX41BXYTrJPVW6pnr+c5ns15Bu8+QBqsubcA/dOHBBvroFWoL&#10;BcSPbP+C8lbliNGUiYq+icZYpSsHYjOb/sHm2wBJVy4kDqarTPj/YNWXwy4L29PspAjgaUQbGpQq&#10;MYvMLzFjjcaELV3dhF2+eJh2mQkfTfbCOJu+MwRHiJQ4VoVPV4X1sQhFwfnjw/JxSoNQlPu4mC8Y&#10;vDmjcG3KWD7p6AUbnXQ2MH9o4fAZy/nqryscDvHFOkdxaF0QYyefHhYMDrRJxkEh0yfihmEvBbg9&#10;ragquSJidLbnai7GE25cFgegLaHl6uP4Sh1L4QALJYhGfS7N/lbK7WwBh3NxTfE1aL0ttNnO+k4u&#10;b6td4Kyuu3khxeqe9WTrPfanKnPDHs29KnTZUV6sW5/s2z9p/RMAAP//AwBQSwMEFAAGAAgAAAAh&#10;ANlH2yjdAAAACAEAAA8AAABkcnMvZG93bnJldi54bWxMj8tOwzAQRfdI/IM1SOyoU4OghDgVAqHu&#10;QA0U0Z0bD3FEPI5ip035eoYVLO9Dd84Uy8l3Yo9DbANpmM8yEEh1sC01Gt5eny4WIGIyZE0XCDUc&#10;McKyPD0pTG7Dgda4r1IjeIRibjS4lPpcylg79CbOQo/E2WcYvEksh0bawRx43HdSZdm19KYlvuBM&#10;jw8O669q9Bq2z261MttxM728H+ffH7Kr2seN1udn0/0diIRT+ivDLz6jQ8lMuzCSjaJjvbjlpgal&#10;FAjOrzLFxo6NyxuQZSH/P1D+AAAA//8DAFBLAQItABQABgAIAAAAIQC2gziS/gAAAOEBAAATAAAA&#10;AAAAAAAAAAAAAAAAAABbQ29udGVudF9UeXBlc10ueG1sUEsBAi0AFAAGAAgAAAAhADj9If/WAAAA&#10;lAEAAAsAAAAAAAAAAAAAAAAALwEAAF9yZWxzLy5yZWxzUEsBAi0AFAAGAAgAAAAhADfTZm/UAQAA&#10;kQMAAA4AAAAAAAAAAAAAAAAALgIAAGRycy9lMm9Eb2MueG1sUEsBAi0AFAAGAAgAAAAhANlH2yjd&#10;AAAACAEAAA8AAAAAAAAAAAAAAAAALgQAAGRycy9kb3ducmV2LnhtbFBLBQYAAAAABAAEAPMAAAA4&#10;BQAAAAA=&#10;" strokecolor="windowText" strokeweight=".5pt">
                      <v:stroke joinstyle="miter"/>
                    </v:line>
                  </w:pict>
                </mc:Fallback>
              </mc:AlternateContent>
            </w:r>
          </w:p>
        </w:tc>
        <w:tc>
          <w:tcPr>
            <w:tcW w:w="4414" w:type="dxa"/>
          </w:tcPr>
          <w:p w:rsidR="00620AE3" w:rsidRPr="00672910" w:rsidRDefault="00620AE3" w:rsidP="00620AE3">
            <w:pPr>
              <w:jc w:val="both"/>
              <w:rPr>
                <w:rFonts w:ascii="Arial" w:eastAsia="Calibri" w:hAnsi="Arial" w:cs="Arial"/>
                <w:sz w:val="24"/>
                <w:szCs w:val="24"/>
              </w:rPr>
            </w:pPr>
            <w:r w:rsidRPr="00672910">
              <w:rPr>
                <w:rFonts w:ascii="Arial" w:eastAsia="Calibri" w:hAnsi="Arial" w:cs="Arial"/>
                <w:noProof/>
                <w:sz w:val="24"/>
                <w:szCs w:val="24"/>
                <w:lang w:eastAsia="es-MX"/>
              </w:rPr>
              <mc:AlternateContent>
                <mc:Choice Requires="wps">
                  <w:drawing>
                    <wp:anchor distT="0" distB="0" distL="114300" distR="114300" simplePos="0" relativeHeight="251660288" behindDoc="0" locked="0" layoutInCell="1" allowOverlap="1" wp14:anchorId="2A41864A" wp14:editId="2EC98014">
                      <wp:simplePos x="0" y="0"/>
                      <wp:positionH relativeFrom="column">
                        <wp:posOffset>117474</wp:posOffset>
                      </wp:positionH>
                      <wp:positionV relativeFrom="paragraph">
                        <wp:posOffset>150495</wp:posOffset>
                      </wp:positionV>
                      <wp:extent cx="248602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4860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B03B4E"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25pt,11.85pt" to="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nH1QEAAJEDAAAOAAAAZHJzL2Uyb0RvYy54bWysU02P0zAQvSPxHyzfabKBViVquodWywVB&#10;JXa5zzp2Yslf8pim/feMnVAVuCFycGY8My/z3kx2jxdr2FlG1N51/GFVcyad8L12Q8dfnp/ebTnD&#10;BK4H453s+FUif9y/fbObQisbP3rTy8gIxGE7hY6PKYW2qlCM0gKufJCOgspHC4ncOFR9hInQrama&#10;ut5Uk499iF5IRLo9zkG+L/hKSZG+KoUyMdNx6i2VM5bzNZ/VfgftECGMWixtwD90YUE7+ugN6ggJ&#10;2I+o/4KyWkSPXqWV8LbySmkhCwdi81D/webbCEEWLiQOhptM+P9gxZfzKTLdd7zhzIGlER1oUCL5&#10;yGJ+sSZrNAVsKfXgTnHxMJxiJnxR0TJldPhO4y8SECl2KQpfbwrLS2KCLpsP203drDkTFPu4Jovg&#10;qhklo4WI6ZP0lmWj40a7zB9aOH/GNKf+SsnXzj9pY+geWuPY1PHN+zVNWQBtkjKQyLSBuKEbOAMz&#10;0IqKFAsieqP7XJ2L8YoHE9kZaEtouXo/PVPHnBnARAGiUZ6l2d9KcztHwHEuLqGcBq3ViTbbaNvx&#10;7X21cTkqy24upLK6s57ZevX9tchcZY/mXhRadjQv1r1P9v2ftP8JAAD//wMAUEsDBBQABgAIAAAA&#10;IQCnBlBR3gAAAAgBAAAPAAAAZHJzL2Rvd25yZXYueG1sTI/BTsMwEETvSPyDtUjcqJNAoQpxKgRC&#10;vYEItGpv29gkEfY6ip025etZTnCcndHsm2I5OSsOZgidJwXpLAFhqPa6o0bBx/vz1QJEiEgarSej&#10;4GQCLMvzswJz7Y/0Zg5VbASXUMhRQRtjn0sZ6tY4DDPfG2Lv0w8OI8uhkXrAI5c7K7MkuZUOO+IP&#10;LfbmsTX1VzU6BbuXdrXC3bieXjen9HsrbdU9rZW6vJge7kFEM8W/MPziMzqUzLT3I+kgLOvFnJMK&#10;sus7EOzfpAlv2/NhnoEsC/l/QPkDAAD//wMAUEsBAi0AFAAGAAgAAAAhALaDOJL+AAAA4QEAABMA&#10;AAAAAAAAAAAAAAAAAAAAAFtDb250ZW50X1R5cGVzXS54bWxQSwECLQAUAAYACAAAACEAOP0h/9YA&#10;AACUAQAACwAAAAAAAAAAAAAAAAAvAQAAX3JlbHMvLnJlbHNQSwECLQAUAAYACAAAACEATrSpx9UB&#10;AACRAwAADgAAAAAAAAAAAAAAAAAuAgAAZHJzL2Uyb0RvYy54bWxQSwECLQAUAAYACAAAACEApwZQ&#10;Ud4AAAAIAQAADwAAAAAAAAAAAAAAAAAvBAAAZHJzL2Rvd25yZXYueG1sUEsFBgAAAAAEAAQA8wAA&#10;ADoFAAAAAA==&#10;" strokecolor="windowText" strokeweight=".5pt">
                      <v:stroke joinstyle="miter"/>
                    </v:line>
                  </w:pict>
                </mc:Fallback>
              </mc:AlternateContent>
            </w:r>
          </w:p>
        </w:tc>
      </w:tr>
      <w:tr w:rsidR="00620AE3" w:rsidRPr="00620AE3" w:rsidTr="00002B9C">
        <w:trPr>
          <w:trHeight w:val="637"/>
        </w:trPr>
        <w:tc>
          <w:tcPr>
            <w:tcW w:w="4414" w:type="dxa"/>
          </w:tcPr>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C. Lilia Guillermina Tec Aguilar</w:t>
            </w:r>
          </w:p>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Consejera Presidente</w:t>
            </w:r>
          </w:p>
        </w:tc>
        <w:tc>
          <w:tcPr>
            <w:tcW w:w="4414" w:type="dxa"/>
          </w:tcPr>
          <w:p w:rsidR="00620AE3" w:rsidRPr="00672910"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C. Claudia Cecilia Córdova Chan</w:t>
            </w:r>
          </w:p>
          <w:p w:rsidR="00620AE3" w:rsidRPr="00620AE3" w:rsidRDefault="00620AE3" w:rsidP="00620AE3">
            <w:pPr>
              <w:jc w:val="center"/>
              <w:rPr>
                <w:rFonts w:ascii="Arial" w:eastAsia="Calibri" w:hAnsi="Arial" w:cs="Arial"/>
                <w:b/>
                <w:bCs/>
                <w:sz w:val="24"/>
                <w:szCs w:val="24"/>
              </w:rPr>
            </w:pPr>
            <w:r w:rsidRPr="00672910">
              <w:rPr>
                <w:rFonts w:ascii="Arial" w:eastAsia="Calibri" w:hAnsi="Arial" w:cs="Arial"/>
                <w:b/>
                <w:bCs/>
                <w:sz w:val="24"/>
                <w:szCs w:val="24"/>
              </w:rPr>
              <w:t>Secretaria Ejecutiva</w:t>
            </w:r>
            <w:bookmarkStart w:id="0" w:name="_GoBack"/>
            <w:bookmarkEnd w:id="0"/>
          </w:p>
        </w:tc>
      </w:tr>
    </w:tbl>
    <w:p w:rsidR="001B3EBC" w:rsidRDefault="001B3EBC"/>
    <w:sectPr w:rsidR="001B3E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9BE"/>
    <w:multiLevelType w:val="hybridMultilevel"/>
    <w:tmpl w:val="86B42966"/>
    <w:lvl w:ilvl="0" w:tplc="080A0011">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E3"/>
    <w:rsid w:val="000A029F"/>
    <w:rsid w:val="001B3EBC"/>
    <w:rsid w:val="00266738"/>
    <w:rsid w:val="00562B92"/>
    <w:rsid w:val="00593C65"/>
    <w:rsid w:val="00620AE3"/>
    <w:rsid w:val="00672910"/>
    <w:rsid w:val="00CA19C1"/>
    <w:rsid w:val="00E10B51"/>
    <w:rsid w:val="00E717ED"/>
    <w:rsid w:val="00FF7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51D2"/>
  <w15:chartTrackingRefBased/>
  <w15:docId w15:val="{2476EE99-424E-4F62-9138-B25326D5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3273</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7</cp:revision>
  <dcterms:created xsi:type="dcterms:W3CDTF">2021-04-02T20:46:00Z</dcterms:created>
  <dcterms:modified xsi:type="dcterms:W3CDTF">2021-04-03T18:51:00Z</dcterms:modified>
</cp:coreProperties>
</file>