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0CFF849" w:rsidR="003C0C29" w:rsidRPr="00106D1F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106D1F">
        <w:rPr>
          <w:rFonts w:ascii="Arial" w:eastAsia="Arial" w:hAnsi="Arial" w:cs="Arial"/>
          <w:b/>
          <w:sz w:val="22"/>
          <w:szCs w:val="22"/>
        </w:rPr>
        <w:t>/</w:t>
      </w:r>
      <w:r w:rsidR="0008625A" w:rsidRPr="00106D1F">
        <w:rPr>
          <w:rFonts w:ascii="Arial" w:eastAsia="Arial" w:hAnsi="Arial" w:cs="Arial"/>
          <w:b/>
          <w:sz w:val="22"/>
          <w:szCs w:val="22"/>
        </w:rPr>
        <w:t xml:space="preserve"> MAMA/</w:t>
      </w:r>
      <w:r w:rsidR="00F5074F" w:rsidRPr="00106D1F">
        <w:rPr>
          <w:rFonts w:ascii="Arial" w:eastAsia="Arial" w:hAnsi="Arial" w:cs="Arial"/>
          <w:b/>
          <w:sz w:val="22"/>
          <w:szCs w:val="22"/>
        </w:rPr>
        <w:t>010</w:t>
      </w:r>
      <w:r w:rsidR="0008625A" w:rsidRPr="00106D1F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Pr="00106D1F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5B266236" w:rsidR="00827DC9" w:rsidRPr="00106D1F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F5074F" w:rsidRPr="00106D1F">
        <w:rPr>
          <w:rFonts w:ascii="Arial" w:eastAsia="Arial" w:hAnsi="Arial" w:cs="Arial"/>
          <w:b/>
          <w:sz w:val="22"/>
          <w:szCs w:val="22"/>
        </w:rPr>
        <w:t>MUNICIPAL DE MAMA</w:t>
      </w:r>
      <w:r w:rsidRPr="00106D1F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106D1F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GLOSARIO</w:t>
      </w:r>
    </w:p>
    <w:p w14:paraId="69073958" w14:textId="77777777" w:rsidR="003C0C29" w:rsidRPr="00106D1F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CPEUM:</w:t>
      </w:r>
      <w:r w:rsidRPr="00106D1F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CPEY:</w:t>
      </w:r>
      <w:r w:rsidRPr="00106D1F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INE:</w:t>
      </w:r>
      <w:r w:rsidRPr="00106D1F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IEPAC:</w:t>
      </w:r>
      <w:r w:rsidRPr="00106D1F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LGIPE:</w:t>
      </w:r>
      <w:r w:rsidRPr="00106D1F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 xml:space="preserve">LIPEEY: </w:t>
      </w:r>
      <w:r w:rsidRPr="00106D1F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LGPP:</w:t>
      </w:r>
      <w:r w:rsidRPr="00106D1F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LPPEY:</w:t>
      </w:r>
      <w:r w:rsidRPr="00106D1F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</w:rPr>
        <w:t>OPL:</w:t>
      </w:r>
      <w:r w:rsidRPr="00106D1F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106D1F">
        <w:rPr>
          <w:rFonts w:ascii="Arial" w:eastAsia="Arial" w:hAnsi="Arial" w:cs="Arial"/>
          <w:b/>
        </w:rPr>
        <w:t>RE:</w:t>
      </w:r>
      <w:r w:rsidRPr="00106D1F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106D1F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106D1F">
        <w:rPr>
          <w:rFonts w:ascii="Arial" w:eastAsia="Arial" w:hAnsi="Arial" w:cs="Arial"/>
          <w:b/>
          <w:bCs/>
          <w:iCs/>
        </w:rPr>
        <w:t>CAE</w:t>
      </w:r>
      <w:r w:rsidR="002A7584" w:rsidRPr="00106D1F">
        <w:rPr>
          <w:rFonts w:ascii="Arial" w:eastAsia="Arial" w:hAnsi="Arial" w:cs="Arial"/>
          <w:b/>
          <w:bCs/>
          <w:iCs/>
        </w:rPr>
        <w:t>L</w:t>
      </w:r>
      <w:r w:rsidRPr="00106D1F">
        <w:rPr>
          <w:rFonts w:ascii="Arial" w:eastAsia="Arial" w:hAnsi="Arial" w:cs="Arial"/>
          <w:i/>
        </w:rPr>
        <w:t>: Capacitador Asistente Electoral</w:t>
      </w:r>
      <w:r w:rsidR="002A7584" w:rsidRPr="00106D1F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106D1F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106D1F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106D1F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106D1F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106D1F">
        <w:rPr>
          <w:rFonts w:ascii="Arial" w:eastAsia="Arial" w:hAnsi="Arial" w:cs="Arial"/>
          <w:i/>
          <w:sz w:val="22"/>
          <w:szCs w:val="22"/>
        </w:rPr>
        <w:t>LGIPE</w:t>
      </w:r>
      <w:r w:rsidRPr="00106D1F">
        <w:rPr>
          <w:rFonts w:ascii="Arial" w:eastAsia="Arial" w:hAnsi="Arial" w:cs="Arial"/>
          <w:sz w:val="22"/>
          <w:szCs w:val="22"/>
        </w:rPr>
        <w:t xml:space="preserve"> y la </w:t>
      </w:r>
      <w:r w:rsidRPr="00106D1F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106D1F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106D1F">
        <w:rPr>
          <w:rFonts w:ascii="Arial" w:eastAsia="Arial" w:hAnsi="Arial" w:cs="Arial"/>
          <w:i/>
          <w:sz w:val="22"/>
          <w:szCs w:val="22"/>
        </w:rPr>
        <w:t xml:space="preserve"> </w:t>
      </w:r>
      <w:r w:rsidRPr="00106D1F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106D1F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106D1F">
        <w:rPr>
          <w:rFonts w:ascii="Arial" w:eastAsia="Arial" w:hAnsi="Arial" w:cs="Arial"/>
          <w:i/>
          <w:sz w:val="22"/>
          <w:szCs w:val="22"/>
        </w:rPr>
        <w:t>LIPEEY</w:t>
      </w:r>
      <w:r w:rsidRPr="00106D1F">
        <w:rPr>
          <w:rFonts w:ascii="Arial" w:eastAsia="Arial" w:hAnsi="Arial" w:cs="Arial"/>
          <w:sz w:val="22"/>
          <w:szCs w:val="22"/>
        </w:rPr>
        <w:t xml:space="preserve">, la </w:t>
      </w:r>
      <w:r w:rsidRPr="00106D1F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106D1F">
        <w:rPr>
          <w:rFonts w:ascii="Arial" w:eastAsia="Arial" w:hAnsi="Arial" w:cs="Arial"/>
          <w:sz w:val="22"/>
          <w:szCs w:val="22"/>
        </w:rPr>
        <w:t xml:space="preserve"> y la </w:t>
      </w:r>
      <w:r w:rsidRPr="00106D1F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106D1F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106D1F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IV.-</w:t>
      </w:r>
      <w:r w:rsidRPr="00106D1F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106D1F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106D1F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V.-</w:t>
      </w:r>
      <w:r w:rsidRPr="00106D1F">
        <w:rPr>
          <w:rFonts w:ascii="Arial" w:eastAsia="Arial" w:hAnsi="Arial" w:cs="Arial"/>
          <w:sz w:val="22"/>
          <w:szCs w:val="22"/>
        </w:rPr>
        <w:t xml:space="preserve"> El </w:t>
      </w:r>
      <w:r w:rsidRPr="00106D1F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106D1F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106D1F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6889230" w:rsidR="00DD4F73" w:rsidRPr="00106D1F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VI.-</w:t>
      </w:r>
      <w:r w:rsidRPr="00106D1F">
        <w:rPr>
          <w:rFonts w:ascii="Arial" w:eastAsia="Arial" w:hAnsi="Arial" w:cs="Arial"/>
          <w:sz w:val="22"/>
          <w:szCs w:val="22"/>
        </w:rPr>
        <w:t xml:space="preserve"> El </w:t>
      </w:r>
      <w:r w:rsidR="00F5074F" w:rsidRPr="00106D1F">
        <w:rPr>
          <w:rFonts w:ascii="Arial" w:eastAsia="Arial" w:hAnsi="Arial" w:cs="Arial"/>
          <w:sz w:val="22"/>
          <w:szCs w:val="22"/>
        </w:rPr>
        <w:t>22</w:t>
      </w:r>
      <w:r w:rsidRPr="00106D1F"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 w:rsidRPr="00106D1F"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106D1F">
        <w:rPr>
          <w:rFonts w:ascii="Arial" w:eastAsia="Arial" w:hAnsi="Arial" w:cs="Arial"/>
          <w:sz w:val="22"/>
          <w:szCs w:val="22"/>
        </w:rPr>
        <w:t>Municipal</w:t>
      </w:r>
      <w:r w:rsidRPr="00106D1F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106D1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106D1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 w:rsidRPr="00106D1F">
        <w:rPr>
          <w:rFonts w:ascii="Arial" w:eastAsia="Arial" w:hAnsi="Arial" w:cs="Arial"/>
          <w:sz w:val="22"/>
          <w:szCs w:val="22"/>
        </w:rPr>
        <w:t xml:space="preserve"> El </w:t>
      </w:r>
      <w:r w:rsidRPr="00106D1F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106D1F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106D1F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106D1F">
        <w:rPr>
          <w:rFonts w:ascii="Arial" w:eastAsia="Arial" w:hAnsi="Arial" w:cs="Arial"/>
          <w:b/>
          <w:bCs/>
          <w:sz w:val="22"/>
          <w:szCs w:val="22"/>
        </w:rPr>
        <w:t>I</w:t>
      </w:r>
      <w:r w:rsidRPr="00106D1F">
        <w:rPr>
          <w:rFonts w:ascii="Arial" w:eastAsia="Arial" w:hAnsi="Arial" w:cs="Arial"/>
          <w:b/>
          <w:bCs/>
          <w:sz w:val="22"/>
          <w:szCs w:val="22"/>
        </w:rPr>
        <w:t>.-</w:t>
      </w:r>
      <w:r w:rsidRPr="00106D1F">
        <w:rPr>
          <w:rFonts w:ascii="Arial" w:eastAsia="Arial" w:hAnsi="Arial" w:cs="Arial"/>
          <w:sz w:val="22"/>
          <w:szCs w:val="22"/>
        </w:rPr>
        <w:t xml:space="preserve"> El </w:t>
      </w:r>
      <w:r w:rsidRPr="00106D1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106D1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106D1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106D1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106D1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106D1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106D1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 w:rsidRPr="00106D1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106D1F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106D1F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106D1F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106D1F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106D1F">
        <w:rPr>
          <w:rFonts w:ascii="Arial" w:eastAsia="Arial" w:hAnsi="Arial" w:cs="Arial"/>
          <w:i/>
          <w:sz w:val="22"/>
          <w:szCs w:val="22"/>
        </w:rPr>
        <w:t>CPEUM</w:t>
      </w:r>
      <w:r w:rsidRPr="00106D1F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106D1F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106D1F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106D1F">
        <w:rPr>
          <w:rFonts w:ascii="Arial" w:eastAsia="Arial" w:hAnsi="Arial" w:cs="Arial"/>
          <w:i/>
          <w:sz w:val="22"/>
          <w:szCs w:val="22"/>
        </w:rPr>
        <w:t>CPEUM,</w:t>
      </w:r>
      <w:r w:rsidRPr="00106D1F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106D1F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3.-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106D1F">
        <w:rPr>
          <w:rFonts w:ascii="Arial" w:eastAsia="Arial" w:hAnsi="Arial" w:cs="Arial"/>
          <w:i/>
          <w:sz w:val="22"/>
          <w:szCs w:val="22"/>
        </w:rPr>
        <w:t>CPEUM</w:t>
      </w:r>
      <w:r w:rsidRPr="00106D1F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4.-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106D1F">
        <w:rPr>
          <w:rFonts w:ascii="Arial" w:eastAsia="Arial" w:hAnsi="Arial" w:cs="Arial"/>
          <w:i/>
          <w:sz w:val="22"/>
          <w:szCs w:val="22"/>
        </w:rPr>
        <w:t>CPEUM</w:t>
      </w:r>
      <w:r w:rsidRPr="00106D1F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106D1F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>5.-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106D1F">
        <w:rPr>
          <w:rFonts w:ascii="Arial" w:eastAsia="Arial" w:hAnsi="Arial" w:cs="Arial"/>
          <w:i/>
          <w:sz w:val="22"/>
          <w:szCs w:val="22"/>
        </w:rPr>
        <w:t>CPEY</w:t>
      </w:r>
      <w:r w:rsidRPr="00106D1F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106D1F">
        <w:rPr>
          <w:rFonts w:ascii="Arial" w:eastAsia="Arial" w:hAnsi="Arial" w:cs="Arial"/>
          <w:i/>
          <w:sz w:val="22"/>
          <w:szCs w:val="22"/>
        </w:rPr>
        <w:t>CPEUM</w:t>
      </w:r>
      <w:r w:rsidRPr="00106D1F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106D1F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106D1F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106D1F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106D1F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106D1F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106D1F">
        <w:rPr>
          <w:rFonts w:ascii="Arial" w:eastAsia="Arial" w:hAnsi="Arial" w:cs="Arial"/>
          <w:i/>
          <w:sz w:val="22"/>
          <w:szCs w:val="22"/>
        </w:rPr>
        <w:t>LIPEEY</w:t>
      </w:r>
      <w:r w:rsidRPr="00106D1F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106D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106D1F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106D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106D1F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106D1F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106D1F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8.-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106D1F">
        <w:rPr>
          <w:rFonts w:ascii="Arial" w:eastAsia="Arial" w:hAnsi="Arial" w:cs="Arial"/>
          <w:sz w:val="22"/>
          <w:szCs w:val="22"/>
        </w:rPr>
        <w:t>RE</w:t>
      </w:r>
      <w:r w:rsidRPr="00106D1F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106D1F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106D1F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9.-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106D1F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106D1F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10.-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106D1F">
        <w:rPr>
          <w:rFonts w:ascii="Arial" w:eastAsia="Arial" w:hAnsi="Arial" w:cs="Arial"/>
          <w:sz w:val="22"/>
          <w:szCs w:val="22"/>
        </w:rPr>
        <w:t>que,</w:t>
      </w:r>
      <w:r w:rsidRPr="00106D1F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106D1F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106D1F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11.-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106D1F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Pr="00106D1F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12.-</w:t>
      </w:r>
      <w:r w:rsidRPr="00106D1F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106D1F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106D1F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Pr="00106D1F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Pr="00106D1F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Pr="00106D1F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Pr="00106D1F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Pr="00106D1F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106D1F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106D1F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Pr="00106D1F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BC8DF3" w14:textId="238A2091" w:rsidR="0011401D" w:rsidRPr="00106D1F" w:rsidRDefault="003E72CD" w:rsidP="0011401D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106D1F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106D1F">
        <w:rPr>
          <w:rFonts w:ascii="Arial" w:eastAsia="Arial" w:hAnsi="Arial" w:cs="Arial"/>
          <w:sz w:val="22"/>
          <w:szCs w:val="22"/>
        </w:rPr>
        <w:t>C</w:t>
      </w:r>
      <w:r w:rsidR="00F119CC" w:rsidRPr="00106D1F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106D1F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106D1F" w14:paraId="59A0B369" w14:textId="77777777" w:rsidTr="00F5074F">
        <w:tc>
          <w:tcPr>
            <w:tcW w:w="1194" w:type="dxa"/>
          </w:tcPr>
          <w:p w14:paraId="380C9C10" w14:textId="624CF7B7" w:rsidR="002316BF" w:rsidRPr="00106D1F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6D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106D1F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6D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106D1F" w14:paraId="46F453F4" w14:textId="77777777" w:rsidTr="00F5074F">
        <w:tc>
          <w:tcPr>
            <w:tcW w:w="1194" w:type="dxa"/>
          </w:tcPr>
          <w:p w14:paraId="6805385F" w14:textId="5A26F3E1" w:rsidR="002316BF" w:rsidRPr="00106D1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6D1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0F4D9724" w:rsidR="002316BF" w:rsidRPr="00106D1F" w:rsidRDefault="0008625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6D1F">
              <w:rPr>
                <w:rFonts w:ascii="Arial" w:eastAsia="Arial" w:hAnsi="Arial" w:cs="Arial"/>
                <w:sz w:val="22"/>
                <w:szCs w:val="22"/>
              </w:rPr>
              <w:t>MELISSA GABRIELA RUZ RICALDE</w:t>
            </w:r>
          </w:p>
        </w:tc>
      </w:tr>
    </w:tbl>
    <w:p w14:paraId="13E2EAE6" w14:textId="0BF52C84" w:rsidR="0011401D" w:rsidRPr="00106D1F" w:rsidRDefault="0011401D" w:rsidP="0011401D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Pr="00106D1F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106D1F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106D1F">
        <w:rPr>
          <w:rFonts w:ascii="Arial" w:eastAsia="Arial" w:hAnsi="Arial" w:cs="Arial"/>
          <w:sz w:val="22"/>
          <w:szCs w:val="22"/>
        </w:rPr>
        <w:t>más</w:t>
      </w:r>
      <w:r w:rsidR="006015C9" w:rsidRPr="00106D1F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106D1F">
        <w:rPr>
          <w:rFonts w:ascii="Arial" w:eastAsia="Arial" w:hAnsi="Arial" w:cs="Arial"/>
          <w:sz w:val="22"/>
          <w:szCs w:val="22"/>
        </w:rPr>
        <w:t>Municipal</w:t>
      </w:r>
      <w:r w:rsidR="006015C9" w:rsidRPr="00106D1F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Pr="00106D1F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106D1F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106D1F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106D1F">
        <w:rPr>
          <w:rFonts w:ascii="Arial" w:eastAsia="Arial" w:hAnsi="Arial" w:cs="Arial"/>
          <w:sz w:val="22"/>
          <w:szCs w:val="22"/>
        </w:rPr>
        <w:t>Ayuntamientos</w:t>
      </w:r>
      <w:r w:rsidRPr="00106D1F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106D1F">
        <w:rPr>
          <w:rFonts w:ascii="Arial" w:eastAsia="Arial" w:hAnsi="Arial" w:cs="Arial"/>
          <w:sz w:val="22"/>
          <w:szCs w:val="22"/>
        </w:rPr>
        <w:t>Municipal</w:t>
      </w:r>
      <w:r w:rsidRPr="00106D1F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106D1F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106D1F">
        <w:rPr>
          <w:rFonts w:ascii="Arial" w:eastAsia="Arial" w:hAnsi="Arial" w:cs="Arial"/>
          <w:sz w:val="22"/>
          <w:szCs w:val="22"/>
        </w:rPr>
        <w:t>Ayuntamientos</w:t>
      </w:r>
      <w:r w:rsidRPr="00106D1F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106D1F">
        <w:rPr>
          <w:rFonts w:ascii="Arial" w:eastAsia="Arial" w:hAnsi="Arial" w:cs="Arial"/>
          <w:sz w:val="22"/>
          <w:szCs w:val="22"/>
        </w:rPr>
        <w:t>Municipa</w:t>
      </w:r>
      <w:r w:rsidRPr="00106D1F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106D1F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106D1F">
        <w:rPr>
          <w:rFonts w:ascii="Arial" w:eastAsia="Arial" w:hAnsi="Arial" w:cs="Arial"/>
          <w:sz w:val="22"/>
          <w:szCs w:val="22"/>
        </w:rPr>
        <w:t>Municipales</w:t>
      </w:r>
      <w:r w:rsidRPr="00106D1F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106D1F">
        <w:rPr>
          <w:rFonts w:ascii="Arial" w:eastAsia="Arial" w:hAnsi="Arial" w:cs="Arial"/>
          <w:sz w:val="22"/>
          <w:szCs w:val="22"/>
        </w:rPr>
        <w:t>Municipa</w:t>
      </w:r>
      <w:r w:rsidRPr="00106D1F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106D1F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106D1F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106D1F">
        <w:rPr>
          <w:rFonts w:ascii="Arial" w:eastAsia="Arial" w:hAnsi="Arial" w:cs="Arial"/>
          <w:sz w:val="22"/>
          <w:szCs w:val="22"/>
        </w:rPr>
        <w:t>Municipal</w:t>
      </w:r>
      <w:r w:rsidRPr="00106D1F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106D1F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106D1F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106D1F">
        <w:rPr>
          <w:rFonts w:ascii="Arial" w:eastAsia="Arial" w:hAnsi="Arial" w:cs="Arial"/>
          <w:sz w:val="22"/>
          <w:szCs w:val="22"/>
        </w:rPr>
        <w:t>Municipal</w:t>
      </w:r>
      <w:r w:rsidRPr="00106D1F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106D1F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106D1F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106D1F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106D1F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106D1F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106D1F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106D1F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Pr="00106D1F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06D1F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106D1F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106D1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106D1F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106D1F">
        <w:rPr>
          <w:rFonts w:ascii="Arial" w:eastAsia="Arial" w:hAnsi="Arial" w:cs="Arial"/>
          <w:sz w:val="22"/>
          <w:szCs w:val="22"/>
        </w:rPr>
        <w:t>Municipa</w:t>
      </w:r>
      <w:r w:rsidR="00877A95" w:rsidRPr="00106D1F">
        <w:rPr>
          <w:rFonts w:ascii="Arial" w:eastAsia="Arial" w:hAnsi="Arial" w:cs="Arial"/>
          <w:sz w:val="22"/>
          <w:szCs w:val="22"/>
        </w:rPr>
        <w:t>l</w:t>
      </w:r>
      <w:r w:rsidR="003E72CD" w:rsidRPr="00106D1F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106D1F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5F714BA" w:rsidR="003E72CD" w:rsidRPr="00106D1F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06D1F"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106D1F">
        <w:rPr>
          <w:rFonts w:ascii="Arial" w:eastAsia="Arial" w:hAnsi="Arial" w:cs="Arial"/>
          <w:b/>
          <w:sz w:val="22"/>
          <w:szCs w:val="22"/>
        </w:rPr>
        <w:t>Sesión Ordinaria</w:t>
      </w:r>
      <w:r w:rsidRPr="00106D1F">
        <w:rPr>
          <w:rFonts w:ascii="Arial" w:eastAsia="Arial" w:hAnsi="Arial" w:cs="Arial"/>
          <w:sz w:val="22"/>
          <w:szCs w:val="22"/>
        </w:rPr>
        <w:t xml:space="preserve"> del Consejo </w:t>
      </w:r>
      <w:r w:rsidR="000410AD" w:rsidRPr="00106D1F">
        <w:rPr>
          <w:rFonts w:ascii="Arial" w:eastAsia="Arial" w:hAnsi="Arial" w:cs="Arial"/>
          <w:sz w:val="22"/>
          <w:szCs w:val="22"/>
        </w:rPr>
        <w:t>Municipal</w:t>
      </w:r>
      <w:r w:rsidR="000D41C2" w:rsidRPr="00106D1F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106D1F">
        <w:rPr>
          <w:rFonts w:ascii="Arial" w:eastAsia="Arial" w:hAnsi="Arial" w:cs="Arial"/>
          <w:sz w:val="22"/>
          <w:szCs w:val="22"/>
        </w:rPr>
        <w:t xml:space="preserve">de </w:t>
      </w:r>
      <w:r w:rsidR="00F5074F" w:rsidRPr="00106D1F">
        <w:rPr>
          <w:rFonts w:ascii="Arial" w:eastAsia="Arial" w:hAnsi="Arial" w:cs="Arial"/>
          <w:sz w:val="22"/>
          <w:szCs w:val="22"/>
        </w:rPr>
        <w:t>Mama</w:t>
      </w:r>
      <w:r w:rsidR="000410AD" w:rsidRPr="00106D1F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106D1F">
        <w:rPr>
          <w:rFonts w:ascii="Arial" w:eastAsia="Arial" w:hAnsi="Arial" w:cs="Arial"/>
          <w:sz w:val="22"/>
          <w:szCs w:val="22"/>
        </w:rPr>
        <w:t xml:space="preserve">Yucatán, </w:t>
      </w:r>
      <w:r w:rsidRPr="00106D1F">
        <w:rPr>
          <w:rFonts w:ascii="Arial" w:eastAsia="Arial" w:hAnsi="Arial" w:cs="Arial"/>
          <w:sz w:val="22"/>
          <w:szCs w:val="22"/>
        </w:rPr>
        <w:t xml:space="preserve">celebrada el día </w:t>
      </w:r>
      <w:r w:rsidR="00F5074F" w:rsidRPr="00106D1F">
        <w:rPr>
          <w:rFonts w:ascii="Arial" w:eastAsia="Arial" w:hAnsi="Arial" w:cs="Arial"/>
          <w:sz w:val="22"/>
          <w:szCs w:val="22"/>
        </w:rPr>
        <w:t>13</w:t>
      </w:r>
      <w:r w:rsidRPr="00106D1F">
        <w:rPr>
          <w:rFonts w:ascii="Arial" w:eastAsia="Arial" w:hAnsi="Arial" w:cs="Arial"/>
          <w:sz w:val="22"/>
          <w:szCs w:val="22"/>
        </w:rPr>
        <w:t xml:space="preserve"> de </w:t>
      </w:r>
      <w:r w:rsidR="00F5074F" w:rsidRPr="00106D1F">
        <w:rPr>
          <w:rFonts w:ascii="Arial" w:eastAsia="Arial" w:hAnsi="Arial" w:cs="Arial"/>
          <w:sz w:val="22"/>
          <w:szCs w:val="22"/>
        </w:rPr>
        <w:t>mayo</w:t>
      </w:r>
      <w:r w:rsidRPr="00106D1F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106D1F">
        <w:rPr>
          <w:rFonts w:ascii="Arial" w:eastAsia="Arial" w:hAnsi="Arial" w:cs="Arial"/>
          <w:sz w:val="22"/>
          <w:szCs w:val="22"/>
        </w:rPr>
        <w:t>dos mil veintiuno</w:t>
      </w:r>
      <w:proofErr w:type="gramEnd"/>
      <w:r w:rsidRPr="00106D1F"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F5074F" w:rsidRPr="00106D1F">
        <w:rPr>
          <w:rFonts w:ascii="Arial" w:eastAsia="Arial" w:hAnsi="Arial" w:cs="Arial"/>
          <w:sz w:val="22"/>
          <w:szCs w:val="22"/>
        </w:rPr>
        <w:t xml:space="preserve"> </w:t>
      </w:r>
      <w:r w:rsidR="0011401D" w:rsidRPr="00106D1F">
        <w:rPr>
          <w:rFonts w:ascii="Arial" w:eastAsia="Arial" w:hAnsi="Arial" w:cs="Arial"/>
          <w:sz w:val="22"/>
          <w:szCs w:val="22"/>
        </w:rPr>
        <w:t xml:space="preserve">C. </w:t>
      </w:r>
      <w:r w:rsidR="00F5074F" w:rsidRPr="00106D1F">
        <w:rPr>
          <w:rFonts w:ascii="Arial" w:eastAsia="Arial" w:hAnsi="Arial" w:cs="Arial"/>
          <w:sz w:val="22"/>
          <w:szCs w:val="22"/>
        </w:rPr>
        <w:t xml:space="preserve">Brenda Carolina Castro Dzib, C. Fernando Jesús González Ché, C. Bartolo </w:t>
      </w:r>
      <w:r w:rsidR="0011401D" w:rsidRPr="00106D1F">
        <w:rPr>
          <w:rFonts w:ascii="Arial" w:eastAsia="Arial" w:hAnsi="Arial" w:cs="Arial"/>
          <w:sz w:val="22"/>
          <w:szCs w:val="22"/>
        </w:rPr>
        <w:t>Fabián</w:t>
      </w:r>
      <w:r w:rsidR="00F5074F" w:rsidRPr="00106D1F">
        <w:rPr>
          <w:rFonts w:ascii="Arial" w:eastAsia="Arial" w:hAnsi="Arial" w:cs="Arial"/>
          <w:sz w:val="22"/>
          <w:szCs w:val="22"/>
        </w:rPr>
        <w:t xml:space="preserve"> Dzib Xiu.</w:t>
      </w:r>
    </w:p>
    <w:p w14:paraId="01492FAD" w14:textId="1F3E6250" w:rsidR="000A5200" w:rsidRPr="00106D1F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Pr="00106D1F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Pr="00106D1F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106D1F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A3A62A4" w:rsidR="000A5200" w:rsidRPr="00106D1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06D1F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1401D" w:rsidRPr="00106D1F">
              <w:rPr>
                <w:rFonts w:ascii="Arial" w:hAnsi="Arial" w:cs="Arial"/>
                <w:b/>
                <w:sz w:val="20"/>
                <w:szCs w:val="20"/>
              </w:rPr>
              <w:t>BARTOLO FABIAN DZIB XIU</w:t>
            </w:r>
          </w:p>
          <w:p w14:paraId="082F7588" w14:textId="0EC50311" w:rsidR="000A5200" w:rsidRPr="00106D1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06D1F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11401D" w:rsidRPr="00106D1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6D1F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106D1F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2256F36E" w:rsidR="000A5200" w:rsidRPr="00106D1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06D1F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1401D" w:rsidRPr="00106D1F">
              <w:rPr>
                <w:rFonts w:ascii="Arial" w:hAnsi="Arial" w:cs="Arial"/>
                <w:b/>
                <w:sz w:val="20"/>
                <w:szCs w:val="20"/>
              </w:rPr>
              <w:t>JOSÉ RODOLFO PACHECO POOT</w:t>
            </w:r>
          </w:p>
          <w:p w14:paraId="1B4E7830" w14:textId="36F9C216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106D1F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11401D" w:rsidRPr="00106D1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6D1F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11401D" w:rsidRPr="00106D1F">
              <w:rPr>
                <w:rFonts w:ascii="Arial" w:hAnsi="Arial" w:cs="Arial"/>
                <w:b/>
                <w:sz w:val="20"/>
                <w:szCs w:val="20"/>
              </w:rPr>
              <w:t>O</w:t>
            </w:r>
            <w:bookmarkStart w:id="0" w:name="_GoBack"/>
            <w:bookmarkEnd w:id="0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2406" w14:textId="77777777" w:rsidR="00A067BF" w:rsidRDefault="00A067BF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63A0D1" w14:textId="77777777" w:rsidR="00A067BF" w:rsidRDefault="00A067BF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B337B57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6D1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6D1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1F19" w14:textId="77777777" w:rsidR="00A067BF" w:rsidRDefault="00A067BF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C9801D4" w14:textId="77777777" w:rsidR="00A067BF" w:rsidRDefault="00A067BF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8625A"/>
    <w:rsid w:val="000A5200"/>
    <w:rsid w:val="000D41C2"/>
    <w:rsid w:val="00106D1F"/>
    <w:rsid w:val="0011401D"/>
    <w:rsid w:val="00144A8B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067BF"/>
    <w:rsid w:val="00A27D06"/>
    <w:rsid w:val="00A40BF8"/>
    <w:rsid w:val="00A52768"/>
    <w:rsid w:val="00AD38A0"/>
    <w:rsid w:val="00B02335"/>
    <w:rsid w:val="00BA74D1"/>
    <w:rsid w:val="00C761EC"/>
    <w:rsid w:val="00C8013E"/>
    <w:rsid w:val="00CF53AF"/>
    <w:rsid w:val="00DA3B9C"/>
    <w:rsid w:val="00DD4F73"/>
    <w:rsid w:val="00DF63B8"/>
    <w:rsid w:val="00E330F3"/>
    <w:rsid w:val="00EC120F"/>
    <w:rsid w:val="00F119CC"/>
    <w:rsid w:val="00F5074F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F67C-A8BA-411D-B91F-C6E4A16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2021-05-12T16:37:00Z</dcterms:created>
  <dcterms:modified xsi:type="dcterms:W3CDTF">2021-05-14T01:03:00Z</dcterms:modified>
</cp:coreProperties>
</file>