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160EB" w14:textId="4A9D7B55" w:rsidR="00F43F5B" w:rsidRDefault="00F43F5B" w:rsidP="00F43F5B">
      <w:pPr>
        <w:jc w:val="center"/>
        <w:rPr>
          <w:rFonts w:ascii="Arial" w:hAnsi="Arial" w:cs="Arial"/>
          <w:b/>
          <w:bCs/>
          <w:sz w:val="24"/>
          <w:szCs w:val="24"/>
        </w:rPr>
      </w:pPr>
      <w:bookmarkStart w:id="0" w:name="_Hlk71040431"/>
      <w:r>
        <w:rPr>
          <w:rFonts w:ascii="Arial" w:hAnsi="Arial" w:cs="Arial"/>
          <w:b/>
          <w:bCs/>
          <w:sz w:val="24"/>
          <w:szCs w:val="24"/>
        </w:rPr>
        <w:t xml:space="preserve">ACUERDO </w:t>
      </w:r>
      <w:bookmarkStart w:id="1" w:name="_GoBack"/>
      <w:r w:rsidR="004D740A" w:rsidRPr="00D0315A">
        <w:rPr>
          <w:rFonts w:ascii="Arial" w:eastAsia="Arial" w:hAnsi="Arial" w:cs="Arial"/>
          <w:b/>
        </w:rPr>
        <w:t>CM/</w:t>
      </w:r>
      <w:r w:rsidR="004D740A">
        <w:rPr>
          <w:rFonts w:ascii="Arial" w:eastAsia="Arial" w:hAnsi="Arial" w:cs="Arial"/>
          <w:b/>
        </w:rPr>
        <w:t>009</w:t>
      </w:r>
      <w:r w:rsidR="004D740A" w:rsidRPr="00D0315A">
        <w:rPr>
          <w:rFonts w:ascii="Arial" w:eastAsia="Arial" w:hAnsi="Arial" w:cs="Arial"/>
          <w:b/>
        </w:rPr>
        <w:t>/2021</w:t>
      </w:r>
      <w:r w:rsidR="004D740A" w:rsidRPr="00E40EA4">
        <w:rPr>
          <w:rFonts w:ascii="Arial" w:eastAsia="Arial" w:hAnsi="Arial" w:cs="Arial"/>
          <w:b/>
        </w:rPr>
        <w:t>/OPICHEN</w:t>
      </w:r>
      <w:bookmarkEnd w:id="1"/>
    </w:p>
    <w:p w14:paraId="450AD353" w14:textId="246119B3" w:rsidR="00F43F5B" w:rsidRDefault="001D1A5A" w:rsidP="00F43F5B">
      <w:pPr>
        <w:jc w:val="both"/>
        <w:rPr>
          <w:rFonts w:ascii="Arial" w:hAnsi="Arial" w:cs="Arial"/>
          <w:b/>
          <w:bCs/>
        </w:rPr>
      </w:pPr>
      <w:r w:rsidRPr="009D45CC">
        <w:rPr>
          <w:rFonts w:ascii="Arial" w:hAnsi="Arial" w:cs="Arial"/>
          <w:b/>
          <w:bCs/>
          <w:sz w:val="24"/>
          <w:szCs w:val="24"/>
        </w:rPr>
        <w:t>APROBACIÓN DEL MODELO OPERATIVO PARA LA RECEPCIÓN DE LOS PAQUETES ELECTORALES AL TÉRMINO DE LA CLAUSURA DE LA CASILLA, (DIAGRAMA OPERATIVO) Y DESIGNACIÓN DE LOS AUXILIARES DE RECEPCIÓN, TRASLADO, GENERALES Y DE ORIENTACIÓN PARA LA IMPLEMENTACIÓN DEL PROCEDIMIENTO</w:t>
      </w:r>
      <w:r>
        <w:rPr>
          <w:rFonts w:ascii="Arial Narrow" w:eastAsia="Arial Narrow" w:hAnsi="Arial Narrow" w:cs="Arial Narrow"/>
          <w:color w:val="000000"/>
          <w:sz w:val="28"/>
          <w:szCs w:val="28"/>
        </w:rPr>
        <w:t xml:space="preserve"> </w:t>
      </w:r>
      <w:r w:rsidRPr="00F43F5B">
        <w:rPr>
          <w:rFonts w:ascii="Arial" w:hAnsi="Arial" w:cs="Arial"/>
          <w:b/>
          <w:bCs/>
          <w:sz w:val="24"/>
          <w:szCs w:val="24"/>
        </w:rPr>
        <w:t>PARA EL PROCESO ELECTORAL LOCAL 2020-2021.</w:t>
      </w:r>
      <w:r w:rsidRPr="00BD7EFE">
        <w:rPr>
          <w:rFonts w:ascii="Arial" w:hAnsi="Arial" w:cs="Arial"/>
          <w:b/>
          <w:bCs/>
        </w:rPr>
        <w:t xml:space="preserve"> </w:t>
      </w:r>
      <w:r w:rsidR="00F43F5B" w:rsidRPr="00BD7EFE">
        <w:rPr>
          <w:rFonts w:ascii="Arial" w:hAnsi="Arial" w:cs="Arial"/>
          <w:b/>
          <w:bCs/>
        </w:rPr>
        <w:t xml:space="preserve"> </w:t>
      </w:r>
    </w:p>
    <w:p w14:paraId="73B63CD8" w14:textId="77777777" w:rsidR="00F43F5B" w:rsidRDefault="00F43F5B" w:rsidP="00F43F5B">
      <w:pPr>
        <w:jc w:val="center"/>
        <w:rPr>
          <w:rFonts w:ascii="Arial" w:hAnsi="Arial" w:cs="Arial"/>
          <w:b/>
          <w:bCs/>
          <w:sz w:val="24"/>
          <w:szCs w:val="24"/>
        </w:rPr>
      </w:pPr>
    </w:p>
    <w:p w14:paraId="33582E41" w14:textId="314924AE" w:rsidR="00CD7A89" w:rsidRPr="0092779C" w:rsidRDefault="00CD7A89" w:rsidP="00F43F5B">
      <w:pPr>
        <w:jc w:val="center"/>
        <w:rPr>
          <w:rFonts w:ascii="Arial" w:hAnsi="Arial" w:cs="Arial"/>
          <w:b/>
          <w:bCs/>
          <w:sz w:val="24"/>
          <w:szCs w:val="24"/>
        </w:rPr>
      </w:pPr>
      <w:r w:rsidRPr="0092779C">
        <w:rPr>
          <w:rFonts w:ascii="Arial" w:hAnsi="Arial" w:cs="Arial"/>
          <w:b/>
          <w:bCs/>
          <w:sz w:val="24"/>
          <w:szCs w:val="24"/>
        </w:rPr>
        <w:t>GLOSARIO</w:t>
      </w:r>
    </w:p>
    <w:p w14:paraId="58F32FB4" w14:textId="77777777" w:rsidR="00CD7A89" w:rsidRDefault="00CD7A89" w:rsidP="00CD7A89">
      <w:pPr>
        <w:jc w:val="both"/>
        <w:rPr>
          <w:rFonts w:ascii="Arial" w:hAnsi="Arial" w:cs="Arial"/>
          <w:sz w:val="24"/>
          <w:szCs w:val="24"/>
        </w:rPr>
      </w:pPr>
      <w:r w:rsidRPr="0092779C">
        <w:rPr>
          <w:rFonts w:ascii="Arial" w:hAnsi="Arial" w:cs="Arial"/>
          <w:b/>
          <w:bCs/>
          <w:sz w:val="24"/>
          <w:szCs w:val="24"/>
        </w:rPr>
        <w:t xml:space="preserve">CPEUM: </w:t>
      </w:r>
      <w:r w:rsidRPr="0092779C">
        <w:rPr>
          <w:rFonts w:ascii="Arial" w:hAnsi="Arial" w:cs="Arial"/>
          <w:sz w:val="24"/>
          <w:szCs w:val="24"/>
        </w:rPr>
        <w:t>Constitución Política de los Estados Unidos Mexicanos</w:t>
      </w:r>
      <w:r>
        <w:rPr>
          <w:rFonts w:ascii="Arial" w:hAnsi="Arial" w:cs="Arial"/>
          <w:sz w:val="24"/>
          <w:szCs w:val="24"/>
        </w:rPr>
        <w:t>.</w:t>
      </w:r>
    </w:p>
    <w:p w14:paraId="047A0029" w14:textId="77777777" w:rsidR="00CD7A89" w:rsidRDefault="00CD7A89" w:rsidP="00CD7A89">
      <w:pPr>
        <w:jc w:val="both"/>
        <w:rPr>
          <w:rFonts w:ascii="Arial" w:hAnsi="Arial" w:cs="Arial"/>
          <w:sz w:val="24"/>
          <w:szCs w:val="24"/>
        </w:rPr>
      </w:pPr>
      <w:r w:rsidRPr="009E4A97">
        <w:rPr>
          <w:rFonts w:ascii="Arial" w:hAnsi="Arial" w:cs="Arial"/>
          <w:b/>
          <w:bCs/>
          <w:sz w:val="24"/>
          <w:szCs w:val="24"/>
        </w:rPr>
        <w:t>CPEY</w:t>
      </w:r>
      <w:r>
        <w:rPr>
          <w:rFonts w:ascii="Arial" w:hAnsi="Arial" w:cs="Arial"/>
          <w:sz w:val="24"/>
          <w:szCs w:val="24"/>
        </w:rPr>
        <w:t>: Constitución Política del Estado de Yucatán.</w:t>
      </w:r>
    </w:p>
    <w:p w14:paraId="5764CA5C" w14:textId="77777777" w:rsidR="00CD7A89" w:rsidRDefault="00CD7A89" w:rsidP="00CD7A89">
      <w:pPr>
        <w:jc w:val="both"/>
        <w:rPr>
          <w:rFonts w:ascii="Arial" w:hAnsi="Arial" w:cs="Arial"/>
          <w:sz w:val="24"/>
          <w:szCs w:val="24"/>
        </w:rPr>
      </w:pPr>
      <w:r w:rsidRPr="009E4A97">
        <w:rPr>
          <w:rFonts w:ascii="Arial" w:hAnsi="Arial" w:cs="Arial"/>
          <w:b/>
          <w:bCs/>
          <w:sz w:val="24"/>
          <w:szCs w:val="24"/>
        </w:rPr>
        <w:t>INE</w:t>
      </w:r>
      <w:r>
        <w:rPr>
          <w:rFonts w:ascii="Arial" w:hAnsi="Arial" w:cs="Arial"/>
          <w:sz w:val="24"/>
          <w:szCs w:val="24"/>
        </w:rPr>
        <w:t>: Instituto Nacional Electoral.</w:t>
      </w:r>
    </w:p>
    <w:p w14:paraId="50B3FE5E" w14:textId="77777777" w:rsidR="00CD7A89" w:rsidRDefault="00CD7A89" w:rsidP="00CD7A89">
      <w:pPr>
        <w:jc w:val="both"/>
        <w:rPr>
          <w:rFonts w:ascii="Arial" w:hAnsi="Arial" w:cs="Arial"/>
          <w:sz w:val="24"/>
          <w:szCs w:val="24"/>
        </w:rPr>
      </w:pPr>
      <w:r w:rsidRPr="009E4A97">
        <w:rPr>
          <w:rFonts w:ascii="Arial" w:hAnsi="Arial" w:cs="Arial"/>
          <w:b/>
          <w:bCs/>
          <w:sz w:val="24"/>
          <w:szCs w:val="24"/>
        </w:rPr>
        <w:t>IEPAC</w:t>
      </w:r>
      <w:r>
        <w:rPr>
          <w:rFonts w:ascii="Arial" w:hAnsi="Arial" w:cs="Arial"/>
          <w:sz w:val="24"/>
          <w:szCs w:val="24"/>
        </w:rPr>
        <w:t>: Instituto Electoral y de Participación Ciudadana de Yucatán</w:t>
      </w:r>
    </w:p>
    <w:p w14:paraId="243238E9" w14:textId="77777777" w:rsidR="00CD7A89" w:rsidRDefault="00CD7A89" w:rsidP="00CD7A89">
      <w:pPr>
        <w:jc w:val="both"/>
        <w:rPr>
          <w:rFonts w:ascii="Arial" w:hAnsi="Arial" w:cs="Arial"/>
          <w:sz w:val="24"/>
          <w:szCs w:val="24"/>
        </w:rPr>
      </w:pPr>
      <w:r w:rsidRPr="009E4A97">
        <w:rPr>
          <w:rFonts w:ascii="Arial" w:hAnsi="Arial" w:cs="Arial"/>
          <w:b/>
          <w:bCs/>
          <w:sz w:val="24"/>
          <w:szCs w:val="24"/>
        </w:rPr>
        <w:t>LGIPE</w:t>
      </w:r>
      <w:r>
        <w:rPr>
          <w:rFonts w:ascii="Arial" w:hAnsi="Arial" w:cs="Arial"/>
          <w:sz w:val="24"/>
          <w:szCs w:val="24"/>
        </w:rPr>
        <w:t>: Ley General de Instituciones y Procedimientos Electorales.</w:t>
      </w:r>
    </w:p>
    <w:p w14:paraId="35BE178A" w14:textId="77777777" w:rsidR="00CD7A89" w:rsidRDefault="00CD7A89" w:rsidP="00CD7A89">
      <w:pPr>
        <w:jc w:val="both"/>
        <w:rPr>
          <w:rFonts w:ascii="Arial" w:hAnsi="Arial" w:cs="Arial"/>
          <w:sz w:val="24"/>
          <w:szCs w:val="24"/>
        </w:rPr>
      </w:pPr>
      <w:r w:rsidRPr="009E4A97">
        <w:rPr>
          <w:rFonts w:ascii="Arial" w:hAnsi="Arial" w:cs="Arial"/>
          <w:b/>
          <w:bCs/>
          <w:sz w:val="24"/>
          <w:szCs w:val="24"/>
        </w:rPr>
        <w:t>LIPEEY</w:t>
      </w:r>
      <w:r>
        <w:rPr>
          <w:rFonts w:ascii="Arial" w:hAnsi="Arial" w:cs="Arial"/>
          <w:sz w:val="24"/>
          <w:szCs w:val="24"/>
        </w:rPr>
        <w:t>: Ley de Instituciones y Procedimientos Electorales del Estado de Yucatán.</w:t>
      </w:r>
    </w:p>
    <w:p w14:paraId="5899DB41" w14:textId="77777777" w:rsidR="00CD7A89" w:rsidRDefault="00CD7A89" w:rsidP="00CD7A89">
      <w:pPr>
        <w:jc w:val="both"/>
        <w:rPr>
          <w:rFonts w:ascii="Arial" w:hAnsi="Arial" w:cs="Arial"/>
          <w:sz w:val="24"/>
          <w:szCs w:val="24"/>
        </w:rPr>
      </w:pPr>
      <w:r w:rsidRPr="009E4A97">
        <w:rPr>
          <w:rFonts w:ascii="Arial" w:hAnsi="Arial" w:cs="Arial"/>
          <w:b/>
          <w:bCs/>
          <w:sz w:val="24"/>
          <w:szCs w:val="24"/>
        </w:rPr>
        <w:t>LGPP</w:t>
      </w:r>
      <w:r>
        <w:rPr>
          <w:rFonts w:ascii="Arial" w:hAnsi="Arial" w:cs="Arial"/>
          <w:sz w:val="24"/>
          <w:szCs w:val="24"/>
        </w:rPr>
        <w:t>: Ley General de Partidos Políticos</w:t>
      </w:r>
    </w:p>
    <w:p w14:paraId="217D2974" w14:textId="77777777" w:rsidR="00CD7A89" w:rsidRDefault="00CD7A89" w:rsidP="00CD7A89">
      <w:pPr>
        <w:jc w:val="both"/>
        <w:rPr>
          <w:rFonts w:ascii="Arial" w:hAnsi="Arial" w:cs="Arial"/>
          <w:sz w:val="24"/>
          <w:szCs w:val="24"/>
        </w:rPr>
      </w:pPr>
      <w:r w:rsidRPr="009E4A97">
        <w:rPr>
          <w:rFonts w:ascii="Arial" w:hAnsi="Arial" w:cs="Arial"/>
          <w:b/>
          <w:bCs/>
          <w:sz w:val="24"/>
          <w:szCs w:val="24"/>
        </w:rPr>
        <w:t>LPPEY</w:t>
      </w:r>
      <w:r>
        <w:rPr>
          <w:rFonts w:ascii="Arial" w:hAnsi="Arial" w:cs="Arial"/>
          <w:sz w:val="24"/>
          <w:szCs w:val="24"/>
        </w:rPr>
        <w:t>: Ley de Partidos Políticos del Estado de Yucatán</w:t>
      </w:r>
    </w:p>
    <w:p w14:paraId="59ABFCA3" w14:textId="77777777" w:rsidR="00CD7A89" w:rsidRDefault="00CD7A89" w:rsidP="00CD7A89">
      <w:pPr>
        <w:jc w:val="both"/>
        <w:rPr>
          <w:rFonts w:ascii="Arial" w:hAnsi="Arial" w:cs="Arial"/>
          <w:sz w:val="24"/>
          <w:szCs w:val="24"/>
        </w:rPr>
      </w:pPr>
      <w:r w:rsidRPr="009E4A97">
        <w:rPr>
          <w:rFonts w:ascii="Arial" w:hAnsi="Arial" w:cs="Arial"/>
          <w:b/>
          <w:bCs/>
          <w:sz w:val="24"/>
          <w:szCs w:val="24"/>
        </w:rPr>
        <w:t>OPL</w:t>
      </w:r>
      <w:r>
        <w:rPr>
          <w:rFonts w:ascii="Arial" w:hAnsi="Arial" w:cs="Arial"/>
          <w:sz w:val="24"/>
          <w:szCs w:val="24"/>
        </w:rPr>
        <w:t>: Organismo Público Local Electoral</w:t>
      </w:r>
    </w:p>
    <w:p w14:paraId="3607ED94" w14:textId="77777777" w:rsidR="00CD7A89" w:rsidRDefault="00CD7A89" w:rsidP="00CD7A89">
      <w:pPr>
        <w:jc w:val="both"/>
        <w:rPr>
          <w:rFonts w:ascii="Arial" w:hAnsi="Arial" w:cs="Arial"/>
          <w:sz w:val="24"/>
          <w:szCs w:val="24"/>
        </w:rPr>
      </w:pPr>
      <w:r w:rsidRPr="009E4A97">
        <w:rPr>
          <w:rFonts w:ascii="Arial" w:hAnsi="Arial" w:cs="Arial"/>
          <w:b/>
          <w:bCs/>
          <w:sz w:val="24"/>
          <w:szCs w:val="24"/>
        </w:rPr>
        <w:t>RE</w:t>
      </w:r>
      <w:r>
        <w:rPr>
          <w:rFonts w:ascii="Arial" w:hAnsi="Arial" w:cs="Arial"/>
          <w:sz w:val="24"/>
          <w:szCs w:val="24"/>
        </w:rPr>
        <w:t>: Reglamento de Elecciones del Instituto Nacional Electoral</w:t>
      </w:r>
    </w:p>
    <w:p w14:paraId="693223F9" w14:textId="77777777" w:rsidR="00CD7A89" w:rsidRDefault="00CD7A89" w:rsidP="00CD7A89">
      <w:pPr>
        <w:jc w:val="both"/>
        <w:rPr>
          <w:rFonts w:ascii="Arial" w:hAnsi="Arial" w:cs="Arial"/>
          <w:sz w:val="24"/>
          <w:szCs w:val="24"/>
        </w:rPr>
      </w:pPr>
    </w:p>
    <w:p w14:paraId="439B0629" w14:textId="77777777" w:rsidR="00CD7A89" w:rsidRDefault="00CD7A89" w:rsidP="00CD7A89">
      <w:pPr>
        <w:jc w:val="center"/>
        <w:rPr>
          <w:rFonts w:ascii="Arial" w:hAnsi="Arial" w:cs="Arial"/>
          <w:b/>
          <w:bCs/>
          <w:sz w:val="24"/>
          <w:szCs w:val="24"/>
        </w:rPr>
      </w:pPr>
      <w:r w:rsidRPr="009E4A97">
        <w:rPr>
          <w:rFonts w:ascii="Arial" w:hAnsi="Arial" w:cs="Arial"/>
          <w:b/>
          <w:bCs/>
          <w:sz w:val="24"/>
          <w:szCs w:val="24"/>
        </w:rPr>
        <w:t>ANTECEDENTES</w:t>
      </w:r>
    </w:p>
    <w:p w14:paraId="2D4832A8" w14:textId="77777777" w:rsidR="00CD7A89" w:rsidRDefault="00CD7A89" w:rsidP="00CD7A89">
      <w:pPr>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El día veintitrés de mayo del año dos mil catorce, fue publicado en el Diario Oficial de la Federación, el Decreto por el que se expide la LGIPE y la LGPP.</w:t>
      </w:r>
    </w:p>
    <w:p w14:paraId="45CC0FC0" w14:textId="77777777" w:rsidR="00CD7A89" w:rsidRDefault="00CD7A89" w:rsidP="00CD7A89">
      <w:pPr>
        <w:jc w:val="both"/>
        <w:rPr>
          <w:rFonts w:ascii="Arial" w:hAnsi="Arial" w:cs="Arial"/>
          <w:sz w:val="24"/>
          <w:szCs w:val="24"/>
        </w:rPr>
      </w:pPr>
      <w:r w:rsidRPr="00884B03">
        <w:rPr>
          <w:rFonts w:ascii="Arial" w:hAnsi="Arial" w:cs="Arial"/>
          <w:b/>
          <w:bCs/>
          <w:sz w:val="24"/>
          <w:szCs w:val="24"/>
        </w:rPr>
        <w:t>II.-</w:t>
      </w:r>
      <w:r>
        <w:rPr>
          <w:rFonts w:ascii="Arial" w:hAnsi="Arial" w:cs="Arial"/>
          <w:sz w:val="24"/>
          <w:szCs w:val="24"/>
        </w:rPr>
        <w:t xml:space="preserve"> El veinte de junio del año dos mil catorce, fue publicado en el Diario Oficial del Gobierno del Estado de Yucatán, el Decreto 195/2014 por el que se modifica la Constitución del Estado en Materia Electoral; que en su artículo transitorio décimo noveno estableció que la celebración de elecciones locales tendrá lugar el primer domingo de junio del año que corresponda.</w:t>
      </w:r>
    </w:p>
    <w:p w14:paraId="408525D9" w14:textId="77777777" w:rsidR="00CD7A89" w:rsidRDefault="00CD7A89" w:rsidP="00CD7A89">
      <w:pPr>
        <w:jc w:val="both"/>
        <w:rPr>
          <w:rFonts w:ascii="Arial" w:hAnsi="Arial" w:cs="Arial"/>
          <w:sz w:val="24"/>
          <w:szCs w:val="24"/>
        </w:rPr>
      </w:pPr>
      <w:r w:rsidRPr="00884B03">
        <w:rPr>
          <w:rFonts w:ascii="Arial" w:hAnsi="Arial" w:cs="Arial"/>
          <w:b/>
          <w:bCs/>
          <w:sz w:val="24"/>
          <w:szCs w:val="24"/>
        </w:rPr>
        <w:lastRenderedPageBreak/>
        <w:t>III.-</w:t>
      </w:r>
      <w:r>
        <w:rPr>
          <w:rFonts w:ascii="Arial" w:hAnsi="Arial" w:cs="Arial"/>
          <w:sz w:val="24"/>
          <w:szCs w:val="24"/>
        </w:rPr>
        <w:t xml:space="preserve"> El treinta y uno de mayo de dos mil diecisiete, fue publicado en el Diario Oficial del Gobierno del Estado el Estado el Decreto 490/2017, por el que se modifica la LIPEEY, la LPPEY y la Ley del Sistema de Medios de Impugnación en Materia Electoral del Estado de Yucatán.</w:t>
      </w:r>
    </w:p>
    <w:p w14:paraId="4F09BB4A" w14:textId="77777777" w:rsidR="00CD7A89" w:rsidRDefault="00CD7A89" w:rsidP="00CD7A89">
      <w:pPr>
        <w:jc w:val="both"/>
        <w:rPr>
          <w:rFonts w:ascii="Arial" w:hAnsi="Arial" w:cs="Arial"/>
          <w:sz w:val="24"/>
          <w:szCs w:val="24"/>
        </w:rPr>
      </w:pPr>
      <w:r>
        <w:rPr>
          <w:rFonts w:ascii="Arial" w:hAnsi="Arial" w:cs="Arial"/>
          <w:b/>
          <w:bCs/>
          <w:sz w:val="24"/>
          <w:szCs w:val="24"/>
        </w:rPr>
        <w:t>IV.-</w:t>
      </w:r>
      <w:r>
        <w:rPr>
          <w:rFonts w:ascii="Arial" w:hAnsi="Arial" w:cs="Arial"/>
          <w:sz w:val="24"/>
          <w:szCs w:val="24"/>
        </w:rPr>
        <w:t xml:space="preserve"> Mediante el Decreto 225/2020 de fecha veintinueve de mayo de dos mil veinte, se aplazó la fecha de inicio del Proceso Electoral Ordinario 2020-2021.</w:t>
      </w:r>
    </w:p>
    <w:p w14:paraId="4362EE55" w14:textId="77777777" w:rsidR="00CD7A89" w:rsidRDefault="00CD7A89" w:rsidP="00CD7A89">
      <w:pPr>
        <w:jc w:val="both"/>
        <w:rPr>
          <w:rFonts w:ascii="Arial" w:hAnsi="Arial" w:cs="Arial"/>
          <w:sz w:val="24"/>
          <w:szCs w:val="24"/>
        </w:rPr>
      </w:pPr>
      <w:r w:rsidRPr="00884B03">
        <w:rPr>
          <w:rFonts w:ascii="Arial" w:hAnsi="Arial" w:cs="Arial"/>
          <w:b/>
          <w:bCs/>
          <w:sz w:val="24"/>
          <w:szCs w:val="24"/>
        </w:rPr>
        <w:t>V.-</w:t>
      </w:r>
      <w:r>
        <w:rPr>
          <w:rFonts w:ascii="Arial" w:hAnsi="Arial" w:cs="Arial"/>
          <w:sz w:val="24"/>
          <w:szCs w:val="24"/>
        </w:rPr>
        <w:t xml:space="preserve"> El cuatro de noviembre de dos mil veinte, el Consejo General de este Instituto celebró la sesión de Declaración de inicio del Proceso Electoral Ordinario 2020-2021, para elegir Diputaciones Locales y Regidurías.</w:t>
      </w:r>
    </w:p>
    <w:p w14:paraId="455E14A9" w14:textId="77777777" w:rsidR="00CD7A89" w:rsidRPr="003836B4" w:rsidRDefault="00CD7A89" w:rsidP="00CD7A89">
      <w:pPr>
        <w:jc w:val="center"/>
        <w:rPr>
          <w:rFonts w:ascii="Arial" w:hAnsi="Arial" w:cs="Arial"/>
          <w:b/>
          <w:bCs/>
          <w:sz w:val="24"/>
          <w:szCs w:val="24"/>
        </w:rPr>
      </w:pPr>
      <w:r w:rsidRPr="003836B4">
        <w:rPr>
          <w:rFonts w:ascii="Arial" w:hAnsi="Arial" w:cs="Arial"/>
          <w:b/>
          <w:bCs/>
          <w:sz w:val="24"/>
          <w:szCs w:val="24"/>
        </w:rPr>
        <w:t>FUNDAMENTO LEGAL</w:t>
      </w:r>
    </w:p>
    <w:p w14:paraId="454B72CF" w14:textId="77777777" w:rsidR="00CD7A89" w:rsidRDefault="00CD7A89" w:rsidP="00CD7A89">
      <w:pPr>
        <w:jc w:val="both"/>
        <w:rPr>
          <w:rFonts w:ascii="Arial" w:hAnsi="Arial" w:cs="Arial"/>
          <w:sz w:val="24"/>
          <w:szCs w:val="24"/>
        </w:rPr>
      </w:pPr>
      <w:r w:rsidRPr="0042276D">
        <w:rPr>
          <w:rFonts w:ascii="Arial" w:hAnsi="Arial" w:cs="Arial"/>
          <w:b/>
          <w:bCs/>
          <w:sz w:val="24"/>
          <w:szCs w:val="24"/>
        </w:rPr>
        <w:t>1.-</w:t>
      </w:r>
      <w:r w:rsidRPr="003836B4">
        <w:rPr>
          <w:rFonts w:ascii="Arial" w:hAnsi="Arial" w:cs="Arial"/>
          <w:sz w:val="24"/>
          <w:szCs w:val="24"/>
        </w:rPr>
        <w:t xml:space="preserve"> El primer párrafo de la Base V del artículo 41, en concordancia con los numerales 1, 3, 4, 5, 6 y 11 del apartado C de la citada base; el artículo 116, fracción IV, inciso c); todos de la CPEUM que se tienen aquí por reproducidos como si a la letra se insertasen para todos los efectos legales a que haya lugar y que señalan de manera general que la organización de las elecciones es una función estatal que se realiza a través del INE y de los organismos públicos locales.</w:t>
      </w:r>
    </w:p>
    <w:p w14:paraId="7A8039C0" w14:textId="77777777" w:rsidR="00CD7A89" w:rsidRPr="004E37A8" w:rsidRDefault="00CD7A89" w:rsidP="00CD7A89">
      <w:pPr>
        <w:jc w:val="both"/>
        <w:rPr>
          <w:rFonts w:ascii="Arial" w:hAnsi="Arial" w:cs="Arial"/>
          <w:sz w:val="24"/>
          <w:szCs w:val="24"/>
        </w:rPr>
      </w:pPr>
      <w:r w:rsidRPr="0042276D">
        <w:rPr>
          <w:rFonts w:ascii="Arial" w:hAnsi="Arial" w:cs="Arial"/>
          <w:b/>
          <w:bCs/>
          <w:sz w:val="24"/>
          <w:szCs w:val="24"/>
        </w:rPr>
        <w:t>2.-</w:t>
      </w:r>
      <w:r w:rsidRPr="004E37A8">
        <w:rPr>
          <w:rFonts w:ascii="Arial" w:hAnsi="Arial" w:cs="Arial"/>
          <w:sz w:val="24"/>
          <w:szCs w:val="24"/>
        </w:rPr>
        <w:t xml:space="preserve"> Los numerales 1 y 2 del artículo 98 de la LGIPE, que se tienen aquí por reproducidos como si a la letra se insertasen para todos los efectos legales a que haya lugar y que señalan que los Organismos Públicos Locales son autoridad en la materia electoral,</w:t>
      </w:r>
    </w:p>
    <w:p w14:paraId="243470B0" w14:textId="77777777" w:rsidR="00CD7A89" w:rsidRPr="004E37A8" w:rsidRDefault="00CD7A89" w:rsidP="00CD7A89">
      <w:pPr>
        <w:jc w:val="both"/>
        <w:rPr>
          <w:rFonts w:ascii="Arial" w:hAnsi="Arial" w:cs="Arial"/>
          <w:sz w:val="24"/>
          <w:szCs w:val="24"/>
        </w:rPr>
      </w:pPr>
      <w:r w:rsidRPr="0042276D">
        <w:rPr>
          <w:rFonts w:ascii="Arial" w:hAnsi="Arial" w:cs="Arial"/>
          <w:b/>
          <w:bCs/>
          <w:sz w:val="24"/>
          <w:szCs w:val="24"/>
        </w:rPr>
        <w:t>3.-</w:t>
      </w:r>
      <w:r w:rsidRPr="004E37A8">
        <w:rPr>
          <w:rFonts w:ascii="Arial" w:hAnsi="Arial" w:cs="Arial"/>
          <w:sz w:val="24"/>
          <w:szCs w:val="24"/>
        </w:rPr>
        <w:t xml:space="preserve"> Los artículos 16, Apartado E, 73 Ter y 75 Bis, todos de la CPEY, que se tienen aquí por reproducidos como si a la letra se insertasen para todos los efectos legales a que haya lugar, establecen entre otras cosas, los principios rectores de la organización de las elecciones, así como la integración y características del Instituto.</w:t>
      </w:r>
    </w:p>
    <w:p w14:paraId="0AD3E62F" w14:textId="14BBA5A3" w:rsidR="00CD7A89" w:rsidRPr="004E37A8" w:rsidRDefault="00CD7A89" w:rsidP="00CD7A89">
      <w:pPr>
        <w:jc w:val="both"/>
        <w:rPr>
          <w:rFonts w:ascii="Arial" w:hAnsi="Arial" w:cs="Arial"/>
          <w:sz w:val="24"/>
          <w:szCs w:val="24"/>
        </w:rPr>
      </w:pPr>
      <w:r w:rsidRPr="0042276D">
        <w:rPr>
          <w:rFonts w:ascii="Arial" w:hAnsi="Arial" w:cs="Arial"/>
          <w:b/>
          <w:bCs/>
          <w:sz w:val="24"/>
          <w:szCs w:val="24"/>
        </w:rPr>
        <w:t>4.-</w:t>
      </w:r>
      <w:r w:rsidRPr="004E37A8">
        <w:rPr>
          <w:rFonts w:ascii="Arial" w:hAnsi="Arial" w:cs="Arial"/>
          <w:sz w:val="24"/>
          <w:szCs w:val="24"/>
        </w:rPr>
        <w:t xml:space="preserve"> Los artículos 4, 103, 104, 106, 109</w:t>
      </w:r>
      <w:r>
        <w:rPr>
          <w:rFonts w:ascii="Arial" w:hAnsi="Arial" w:cs="Arial"/>
          <w:sz w:val="24"/>
          <w:szCs w:val="24"/>
        </w:rPr>
        <w:t xml:space="preserve">, </w:t>
      </w:r>
      <w:r w:rsidRPr="004E37A8">
        <w:rPr>
          <w:rFonts w:ascii="Arial" w:hAnsi="Arial" w:cs="Arial"/>
          <w:sz w:val="24"/>
          <w:szCs w:val="24"/>
        </w:rPr>
        <w:t>110</w:t>
      </w:r>
      <w:r>
        <w:rPr>
          <w:rFonts w:ascii="Arial" w:hAnsi="Arial" w:cs="Arial"/>
          <w:sz w:val="24"/>
          <w:szCs w:val="24"/>
        </w:rPr>
        <w:t>, 162, 164, 165, y 168</w:t>
      </w:r>
      <w:r w:rsidRPr="004E37A8">
        <w:rPr>
          <w:rFonts w:ascii="Arial" w:hAnsi="Arial" w:cs="Arial"/>
          <w:sz w:val="24"/>
          <w:szCs w:val="24"/>
        </w:rPr>
        <w:t>; todos de la LIPEEY, que se tienen aquí por reproducidos como si a la letra se insertasen para todos los efectos legales a que haya lugar, y que señalan, entre otras cosas, los órganos a quienes compete la aplicación de esta ley, la competencia y fines del instituto, así como sus órganos centrales</w:t>
      </w:r>
      <w:r>
        <w:rPr>
          <w:rFonts w:ascii="Arial" w:hAnsi="Arial" w:cs="Arial"/>
          <w:sz w:val="24"/>
          <w:szCs w:val="24"/>
        </w:rPr>
        <w:t xml:space="preserve"> y los consejos municipales.</w:t>
      </w:r>
    </w:p>
    <w:p w14:paraId="7E324F2B" w14:textId="77777777" w:rsidR="00CD7A89" w:rsidRPr="004E37A8" w:rsidRDefault="00CD7A89" w:rsidP="00CD7A89">
      <w:pPr>
        <w:jc w:val="both"/>
        <w:rPr>
          <w:rFonts w:ascii="Arial" w:hAnsi="Arial" w:cs="Arial"/>
          <w:b/>
          <w:bCs/>
          <w:sz w:val="24"/>
          <w:szCs w:val="24"/>
        </w:rPr>
      </w:pPr>
      <w:r w:rsidRPr="004E37A8">
        <w:rPr>
          <w:rFonts w:ascii="Arial" w:hAnsi="Arial" w:cs="Arial"/>
          <w:b/>
          <w:bCs/>
          <w:sz w:val="24"/>
          <w:szCs w:val="24"/>
        </w:rPr>
        <w:t>Del Proceso Electoral</w:t>
      </w:r>
    </w:p>
    <w:p w14:paraId="6B142A5E" w14:textId="77777777" w:rsidR="00CD7A89" w:rsidRPr="004E37A8" w:rsidRDefault="00CD7A89" w:rsidP="00CD7A89">
      <w:pPr>
        <w:jc w:val="both"/>
        <w:rPr>
          <w:rFonts w:ascii="Arial" w:hAnsi="Arial" w:cs="Arial"/>
          <w:sz w:val="24"/>
          <w:szCs w:val="24"/>
        </w:rPr>
      </w:pPr>
      <w:r w:rsidRPr="00382B1F">
        <w:rPr>
          <w:rFonts w:ascii="Arial" w:hAnsi="Arial" w:cs="Arial"/>
          <w:b/>
          <w:bCs/>
          <w:sz w:val="24"/>
          <w:szCs w:val="24"/>
        </w:rPr>
        <w:t>5.-</w:t>
      </w:r>
      <w:r w:rsidRPr="004E37A8">
        <w:rPr>
          <w:rFonts w:ascii="Arial" w:hAnsi="Arial" w:cs="Arial"/>
          <w:sz w:val="24"/>
          <w:szCs w:val="24"/>
        </w:rPr>
        <w:t xml:space="preserve"> El segundo párrafo del artículo 16 Apartado D de la CPEY que se tiene aquí por reproducido como si a la letra se insertase para todos los efectos legales a que haya lugar y que se refiere al Proceso Electoral. </w:t>
      </w:r>
    </w:p>
    <w:p w14:paraId="0979172D" w14:textId="0758F682" w:rsidR="00383FC9" w:rsidRDefault="00CD7A89" w:rsidP="00753BCA">
      <w:pPr>
        <w:jc w:val="both"/>
      </w:pPr>
      <w:r w:rsidRPr="00382B1F">
        <w:rPr>
          <w:rFonts w:ascii="Arial" w:hAnsi="Arial" w:cs="Arial"/>
          <w:b/>
          <w:bCs/>
          <w:sz w:val="24"/>
          <w:szCs w:val="24"/>
        </w:rPr>
        <w:lastRenderedPageBreak/>
        <w:t>6.-</w:t>
      </w:r>
      <w:r w:rsidRPr="004E37A8">
        <w:rPr>
          <w:rFonts w:ascii="Arial" w:hAnsi="Arial" w:cs="Arial"/>
          <w:sz w:val="24"/>
          <w:szCs w:val="24"/>
        </w:rPr>
        <w:t xml:space="preserve"> Los artículos 187 y 189 de la LIPEEY, que se tienen aquí por reproducidos como si a la letra se insertasen para todos los efectos legales a que haya lugar, y que se refiere a qué es el proceso electoral, cuándo inicia y sus etapas</w:t>
      </w:r>
      <w:r w:rsidR="00F43F5B">
        <w:rPr>
          <w:rFonts w:ascii="Arial" w:hAnsi="Arial" w:cs="Arial"/>
          <w:sz w:val="24"/>
          <w:szCs w:val="24"/>
        </w:rPr>
        <w:t>.</w:t>
      </w:r>
    </w:p>
    <w:p w14:paraId="08D3F65E" w14:textId="7F3FE651" w:rsidR="00362BA5" w:rsidRPr="00F43F5B" w:rsidRDefault="00B4406F" w:rsidP="00753BCA">
      <w:pPr>
        <w:shd w:val="clear" w:color="auto" w:fill="FFFFFF"/>
        <w:spacing w:after="0" w:line="240" w:lineRule="auto"/>
        <w:jc w:val="both"/>
        <w:rPr>
          <w:rFonts w:ascii="Arial" w:hAnsi="Arial" w:cs="Arial"/>
          <w:b/>
          <w:bCs/>
          <w:sz w:val="24"/>
          <w:szCs w:val="24"/>
        </w:rPr>
      </w:pPr>
      <w:r w:rsidRPr="00F43F5B">
        <w:rPr>
          <w:rFonts w:ascii="Arial" w:hAnsi="Arial" w:cs="Arial"/>
          <w:b/>
          <w:bCs/>
          <w:sz w:val="24"/>
          <w:szCs w:val="24"/>
        </w:rPr>
        <w:t>De los criterios para la recepción de los paquetes electorales en las sedes de los órganos competentes del INE y de los OPL, al término de la jornada electoral.</w:t>
      </w:r>
    </w:p>
    <w:p w14:paraId="560DEEEE" w14:textId="77777777" w:rsidR="00B4406F" w:rsidRPr="00F43F5B" w:rsidRDefault="00B4406F" w:rsidP="00753BCA">
      <w:pPr>
        <w:shd w:val="clear" w:color="auto" w:fill="FFFFFF"/>
        <w:spacing w:after="0" w:line="240" w:lineRule="auto"/>
        <w:jc w:val="both"/>
        <w:rPr>
          <w:rFonts w:ascii="Arial" w:hAnsi="Arial" w:cs="Arial"/>
          <w:sz w:val="24"/>
          <w:szCs w:val="24"/>
        </w:rPr>
      </w:pPr>
    </w:p>
    <w:p w14:paraId="1AF40892" w14:textId="569C94F2" w:rsidR="00362BA5" w:rsidRPr="00F43F5B" w:rsidRDefault="00604DCC" w:rsidP="00F43F5B">
      <w:pPr>
        <w:shd w:val="clear" w:color="auto" w:fill="FFFFFF"/>
        <w:spacing w:after="0"/>
        <w:jc w:val="both"/>
        <w:rPr>
          <w:rFonts w:ascii="Arial" w:hAnsi="Arial" w:cs="Arial"/>
          <w:sz w:val="24"/>
          <w:szCs w:val="24"/>
        </w:rPr>
      </w:pPr>
      <w:r w:rsidRPr="00F43F5B">
        <w:rPr>
          <w:rFonts w:ascii="Arial" w:hAnsi="Arial" w:cs="Arial"/>
          <w:b/>
          <w:bCs/>
          <w:sz w:val="24"/>
          <w:szCs w:val="24"/>
        </w:rPr>
        <w:t>7.</w:t>
      </w:r>
      <w:r w:rsidRPr="00F43F5B">
        <w:rPr>
          <w:rFonts w:ascii="Arial" w:hAnsi="Arial" w:cs="Arial"/>
          <w:sz w:val="24"/>
          <w:szCs w:val="24"/>
        </w:rPr>
        <w:t xml:space="preserve"> </w:t>
      </w:r>
      <w:r w:rsidR="008918C4" w:rsidRPr="00F43F5B">
        <w:rPr>
          <w:rFonts w:ascii="Arial" w:hAnsi="Arial" w:cs="Arial"/>
          <w:sz w:val="24"/>
          <w:szCs w:val="24"/>
        </w:rPr>
        <w:t>E</w:t>
      </w:r>
      <w:r w:rsidR="00362BA5" w:rsidRPr="00F43F5B">
        <w:rPr>
          <w:rFonts w:ascii="Arial" w:hAnsi="Arial" w:cs="Arial"/>
          <w:sz w:val="24"/>
          <w:szCs w:val="24"/>
        </w:rPr>
        <w:t>l</w:t>
      </w:r>
      <w:r w:rsidR="000E63F6" w:rsidRPr="00F43F5B">
        <w:rPr>
          <w:rFonts w:ascii="Arial" w:hAnsi="Arial" w:cs="Arial"/>
          <w:sz w:val="24"/>
          <w:szCs w:val="24"/>
        </w:rPr>
        <w:t xml:space="preserve"> artículo 383 del </w:t>
      </w:r>
      <w:r w:rsidR="00362BA5" w:rsidRPr="00F43F5B">
        <w:rPr>
          <w:rFonts w:ascii="Arial" w:hAnsi="Arial" w:cs="Arial"/>
          <w:sz w:val="24"/>
          <w:szCs w:val="24"/>
        </w:rPr>
        <w:t>Reglamento de Elecciones</w:t>
      </w:r>
      <w:r w:rsidR="008918C4" w:rsidRPr="00F43F5B">
        <w:rPr>
          <w:rFonts w:ascii="Arial" w:hAnsi="Arial" w:cs="Arial"/>
          <w:sz w:val="24"/>
          <w:szCs w:val="24"/>
        </w:rPr>
        <w:t>,</w:t>
      </w:r>
      <w:r w:rsidR="000E63F6" w:rsidRPr="00F43F5B">
        <w:rPr>
          <w:rFonts w:ascii="Arial" w:hAnsi="Arial" w:cs="Arial"/>
          <w:sz w:val="24"/>
          <w:szCs w:val="24"/>
        </w:rPr>
        <w:t xml:space="preserve"> </w:t>
      </w:r>
      <w:r w:rsidR="000E63F6" w:rsidRPr="004E37A8">
        <w:rPr>
          <w:rFonts w:ascii="Arial" w:hAnsi="Arial" w:cs="Arial"/>
          <w:sz w:val="24"/>
          <w:szCs w:val="24"/>
        </w:rPr>
        <w:t>que se tiene aquí por reproducido como si a la letra se insertase para todos los efectos legales a que haya lugar, y que se refiere a</w:t>
      </w:r>
      <w:r w:rsidR="000E63F6">
        <w:rPr>
          <w:rFonts w:ascii="Arial" w:hAnsi="Arial" w:cs="Arial"/>
          <w:sz w:val="24"/>
          <w:szCs w:val="24"/>
        </w:rPr>
        <w:t xml:space="preserve"> la recepción de paquetes electorales al término de la jornada electoral.</w:t>
      </w:r>
    </w:p>
    <w:p w14:paraId="3CD56539" w14:textId="77777777" w:rsidR="00362BA5" w:rsidRPr="00F43F5B" w:rsidRDefault="00362BA5" w:rsidP="00F43F5B">
      <w:pPr>
        <w:shd w:val="clear" w:color="auto" w:fill="FFFFFF"/>
        <w:spacing w:after="0"/>
        <w:jc w:val="both"/>
        <w:rPr>
          <w:rFonts w:ascii="Arial" w:hAnsi="Arial" w:cs="Arial"/>
          <w:sz w:val="24"/>
          <w:szCs w:val="24"/>
        </w:rPr>
      </w:pPr>
    </w:p>
    <w:p w14:paraId="619900CA" w14:textId="50CC1815" w:rsidR="00362BA5" w:rsidRPr="00F43F5B" w:rsidRDefault="00604DCC" w:rsidP="00F43F5B">
      <w:pPr>
        <w:shd w:val="clear" w:color="auto" w:fill="FFFFFF"/>
        <w:spacing w:after="0"/>
        <w:jc w:val="both"/>
        <w:rPr>
          <w:rFonts w:ascii="Arial" w:hAnsi="Arial" w:cs="Arial"/>
          <w:sz w:val="24"/>
          <w:szCs w:val="24"/>
        </w:rPr>
      </w:pPr>
      <w:r w:rsidRPr="00F43F5B">
        <w:rPr>
          <w:rFonts w:ascii="Arial" w:hAnsi="Arial" w:cs="Arial"/>
          <w:b/>
          <w:bCs/>
          <w:sz w:val="24"/>
          <w:szCs w:val="24"/>
        </w:rPr>
        <w:t>8.</w:t>
      </w:r>
      <w:r w:rsidRPr="00F43F5B">
        <w:rPr>
          <w:rFonts w:ascii="Arial" w:hAnsi="Arial" w:cs="Arial"/>
          <w:sz w:val="24"/>
          <w:szCs w:val="24"/>
        </w:rPr>
        <w:t xml:space="preserve"> </w:t>
      </w:r>
      <w:r w:rsidR="000E63F6" w:rsidRPr="00F43F5B">
        <w:rPr>
          <w:rFonts w:ascii="Arial" w:hAnsi="Arial" w:cs="Arial"/>
          <w:sz w:val="24"/>
          <w:szCs w:val="24"/>
        </w:rPr>
        <w:t>Los</w:t>
      </w:r>
      <w:r w:rsidR="00362BA5" w:rsidRPr="00F43F5B">
        <w:rPr>
          <w:rFonts w:ascii="Arial" w:hAnsi="Arial" w:cs="Arial"/>
          <w:sz w:val="24"/>
          <w:szCs w:val="24"/>
        </w:rPr>
        <w:t xml:space="preserve"> artículo</w:t>
      </w:r>
      <w:r w:rsidR="000E63F6" w:rsidRPr="00F43F5B">
        <w:rPr>
          <w:rFonts w:ascii="Arial" w:hAnsi="Arial" w:cs="Arial"/>
          <w:sz w:val="24"/>
          <w:szCs w:val="24"/>
        </w:rPr>
        <w:t>s</w:t>
      </w:r>
      <w:r w:rsidR="00362BA5" w:rsidRPr="00F43F5B">
        <w:rPr>
          <w:rFonts w:ascii="Arial" w:hAnsi="Arial" w:cs="Arial"/>
          <w:sz w:val="24"/>
          <w:szCs w:val="24"/>
        </w:rPr>
        <w:t xml:space="preserve"> </w:t>
      </w:r>
      <w:r w:rsidR="00CD7A89" w:rsidRPr="00F43F5B">
        <w:rPr>
          <w:rFonts w:ascii="Arial" w:hAnsi="Arial" w:cs="Arial"/>
          <w:sz w:val="24"/>
          <w:szCs w:val="24"/>
        </w:rPr>
        <w:t>162</w:t>
      </w:r>
      <w:r w:rsidR="000E63F6" w:rsidRPr="00F43F5B">
        <w:rPr>
          <w:rFonts w:ascii="Arial" w:hAnsi="Arial" w:cs="Arial"/>
          <w:sz w:val="24"/>
          <w:szCs w:val="24"/>
        </w:rPr>
        <w:t xml:space="preserve"> y 168 fracciones III y VIII</w:t>
      </w:r>
      <w:r w:rsidR="00CD7A89" w:rsidRPr="00F43F5B">
        <w:rPr>
          <w:rFonts w:ascii="Arial" w:hAnsi="Arial" w:cs="Arial"/>
          <w:sz w:val="24"/>
          <w:szCs w:val="24"/>
        </w:rPr>
        <w:t xml:space="preserve"> de la L</w:t>
      </w:r>
      <w:r w:rsidR="000E63F6" w:rsidRPr="00F43F5B">
        <w:rPr>
          <w:rFonts w:ascii="Arial" w:hAnsi="Arial" w:cs="Arial"/>
          <w:sz w:val="24"/>
          <w:szCs w:val="24"/>
        </w:rPr>
        <w:t>IPEY</w:t>
      </w:r>
      <w:r w:rsidR="00CD7A89" w:rsidRPr="00F43F5B">
        <w:rPr>
          <w:rFonts w:ascii="Arial" w:hAnsi="Arial" w:cs="Arial"/>
          <w:sz w:val="24"/>
          <w:szCs w:val="24"/>
        </w:rPr>
        <w:t>,</w:t>
      </w:r>
      <w:r w:rsidR="000E63F6" w:rsidRPr="00F43F5B">
        <w:rPr>
          <w:rFonts w:ascii="Arial" w:hAnsi="Arial" w:cs="Arial"/>
          <w:sz w:val="24"/>
          <w:szCs w:val="24"/>
        </w:rPr>
        <w:t xml:space="preserve"> </w:t>
      </w:r>
      <w:r w:rsidR="000E63F6" w:rsidRPr="004E37A8">
        <w:rPr>
          <w:rFonts w:ascii="Arial" w:hAnsi="Arial" w:cs="Arial"/>
          <w:sz w:val="24"/>
          <w:szCs w:val="24"/>
        </w:rPr>
        <w:t>que se tienen aquí por reproducidos como si a la letra se insertasen para todos los efectos legales a que haya lugar, y que se refiere</w:t>
      </w:r>
      <w:r w:rsidR="000E63F6">
        <w:rPr>
          <w:rFonts w:ascii="Arial" w:hAnsi="Arial" w:cs="Arial"/>
          <w:sz w:val="24"/>
          <w:szCs w:val="24"/>
        </w:rPr>
        <w:t>n a la obligación de</w:t>
      </w:r>
      <w:r w:rsidRPr="00F43F5B">
        <w:rPr>
          <w:rFonts w:ascii="Arial" w:hAnsi="Arial" w:cs="Arial"/>
          <w:sz w:val="24"/>
          <w:szCs w:val="24"/>
        </w:rPr>
        <w:t xml:space="preserve"> </w:t>
      </w:r>
      <w:r w:rsidR="00CD7A89" w:rsidRPr="00F43F5B">
        <w:rPr>
          <w:rFonts w:ascii="Arial" w:hAnsi="Arial" w:cs="Arial"/>
          <w:sz w:val="24"/>
          <w:szCs w:val="24"/>
        </w:rPr>
        <w:t xml:space="preserve">los consejos municipales </w:t>
      </w:r>
      <w:r w:rsidR="000E63F6" w:rsidRPr="00F43F5B">
        <w:rPr>
          <w:rFonts w:ascii="Arial" w:hAnsi="Arial" w:cs="Arial"/>
          <w:sz w:val="24"/>
          <w:szCs w:val="24"/>
        </w:rPr>
        <w:t>para</w:t>
      </w:r>
      <w:r w:rsidR="00CD7A89" w:rsidRPr="00F43F5B">
        <w:rPr>
          <w:rFonts w:ascii="Arial" w:hAnsi="Arial" w:cs="Arial"/>
          <w:sz w:val="24"/>
          <w:szCs w:val="24"/>
        </w:rPr>
        <w:t xml:space="preserve"> la preparación, desarrollo y vigilancia del proceso electoral, dentro de sus respectivos municipios, </w:t>
      </w:r>
      <w:r w:rsidR="00370FB9" w:rsidRPr="00F43F5B">
        <w:rPr>
          <w:rFonts w:ascii="Arial" w:hAnsi="Arial" w:cs="Arial"/>
          <w:sz w:val="24"/>
          <w:szCs w:val="24"/>
        </w:rPr>
        <w:t xml:space="preserve">así como la recepción de paquetes electorales que </w:t>
      </w:r>
      <w:r w:rsidRPr="00F43F5B">
        <w:rPr>
          <w:rFonts w:ascii="Arial" w:hAnsi="Arial" w:cs="Arial"/>
          <w:sz w:val="24"/>
          <w:szCs w:val="24"/>
        </w:rPr>
        <w:t xml:space="preserve">contengan la documentación y el expediente relativo </w:t>
      </w:r>
      <w:r w:rsidR="00370FB9" w:rsidRPr="00F43F5B">
        <w:rPr>
          <w:rFonts w:ascii="Arial" w:hAnsi="Arial" w:cs="Arial"/>
          <w:sz w:val="24"/>
          <w:szCs w:val="24"/>
        </w:rPr>
        <w:t xml:space="preserve">a </w:t>
      </w:r>
      <w:r w:rsidRPr="00F43F5B">
        <w:rPr>
          <w:rFonts w:ascii="Arial" w:hAnsi="Arial" w:cs="Arial"/>
          <w:sz w:val="24"/>
          <w:szCs w:val="24"/>
        </w:rPr>
        <w:t>la elección de diputaciones y regidurías para el Proceso Electoral Local 2020-2021.</w:t>
      </w:r>
    </w:p>
    <w:p w14:paraId="17D13F2C" w14:textId="77777777" w:rsidR="00362BA5" w:rsidRPr="00F43F5B" w:rsidRDefault="00362BA5" w:rsidP="00F43F5B">
      <w:pPr>
        <w:shd w:val="clear" w:color="auto" w:fill="FFFFFF"/>
        <w:spacing w:after="0"/>
        <w:jc w:val="both"/>
        <w:rPr>
          <w:rFonts w:ascii="Arial" w:hAnsi="Arial" w:cs="Arial"/>
          <w:sz w:val="24"/>
          <w:szCs w:val="24"/>
        </w:rPr>
      </w:pPr>
    </w:p>
    <w:p w14:paraId="121B3EEA" w14:textId="67B41371" w:rsidR="008918C4" w:rsidRDefault="00604DCC" w:rsidP="00F43F5B">
      <w:pPr>
        <w:shd w:val="clear" w:color="auto" w:fill="FFFFFF"/>
        <w:spacing w:after="0"/>
        <w:jc w:val="both"/>
        <w:rPr>
          <w:rFonts w:ascii="Arial" w:hAnsi="Arial" w:cs="Arial"/>
          <w:sz w:val="24"/>
          <w:szCs w:val="24"/>
        </w:rPr>
      </w:pPr>
      <w:r w:rsidRPr="00F43F5B">
        <w:rPr>
          <w:rFonts w:ascii="Arial" w:hAnsi="Arial" w:cs="Arial"/>
          <w:b/>
          <w:bCs/>
          <w:sz w:val="24"/>
          <w:szCs w:val="24"/>
        </w:rPr>
        <w:t>9</w:t>
      </w:r>
      <w:r w:rsidR="00362BA5" w:rsidRPr="00F43F5B">
        <w:rPr>
          <w:rFonts w:ascii="Arial" w:hAnsi="Arial" w:cs="Arial"/>
          <w:b/>
          <w:bCs/>
          <w:sz w:val="24"/>
          <w:szCs w:val="24"/>
        </w:rPr>
        <w:t>.</w:t>
      </w:r>
      <w:r w:rsidR="00362BA5" w:rsidRPr="00F43F5B">
        <w:rPr>
          <w:rFonts w:ascii="Arial" w:hAnsi="Arial" w:cs="Arial"/>
          <w:sz w:val="24"/>
          <w:szCs w:val="24"/>
        </w:rPr>
        <w:t xml:space="preserve"> El Anexo 14 del Reglamento de Elecciones </w:t>
      </w:r>
      <w:r w:rsidR="00370FB9" w:rsidRPr="004E37A8">
        <w:rPr>
          <w:rFonts w:ascii="Arial" w:hAnsi="Arial" w:cs="Arial"/>
          <w:sz w:val="24"/>
          <w:szCs w:val="24"/>
        </w:rPr>
        <w:t>que se tiene aquí por reproducido como si a la letra se insertase para todos los efectos legales a que haya lugar</w:t>
      </w:r>
      <w:r w:rsidR="00370FB9" w:rsidRPr="00F43F5B">
        <w:rPr>
          <w:rFonts w:ascii="Arial" w:hAnsi="Arial" w:cs="Arial"/>
          <w:sz w:val="24"/>
          <w:szCs w:val="24"/>
        </w:rPr>
        <w:t xml:space="preserve">, </w:t>
      </w:r>
      <w:r w:rsidR="00362BA5" w:rsidRPr="00F43F5B">
        <w:rPr>
          <w:rFonts w:ascii="Arial" w:hAnsi="Arial" w:cs="Arial"/>
          <w:sz w:val="24"/>
          <w:szCs w:val="24"/>
        </w:rPr>
        <w:t xml:space="preserve">establece los criterios para </w:t>
      </w:r>
      <w:r w:rsidR="00370FB9" w:rsidRPr="00F43F5B">
        <w:rPr>
          <w:rFonts w:ascii="Arial" w:hAnsi="Arial" w:cs="Arial"/>
          <w:sz w:val="24"/>
          <w:szCs w:val="24"/>
        </w:rPr>
        <w:t xml:space="preserve">la </w:t>
      </w:r>
      <w:r w:rsidR="00362BA5" w:rsidRPr="00F43F5B">
        <w:rPr>
          <w:rFonts w:ascii="Arial" w:hAnsi="Arial" w:cs="Arial"/>
          <w:sz w:val="24"/>
          <w:szCs w:val="24"/>
        </w:rPr>
        <w:t>recepción de los paquetes electorales en las sedes de los órganos compete</w:t>
      </w:r>
      <w:r w:rsidR="00370FB9" w:rsidRPr="00F43F5B">
        <w:rPr>
          <w:rFonts w:ascii="Arial" w:hAnsi="Arial" w:cs="Arial"/>
          <w:sz w:val="24"/>
          <w:szCs w:val="24"/>
        </w:rPr>
        <w:t>s</w:t>
      </w:r>
      <w:r w:rsidR="00362BA5" w:rsidRPr="00F43F5B">
        <w:rPr>
          <w:rFonts w:ascii="Arial" w:hAnsi="Arial" w:cs="Arial"/>
          <w:sz w:val="24"/>
          <w:szCs w:val="24"/>
        </w:rPr>
        <w:t xml:space="preserve"> del Instituto Nacional Electoral (Instituto) y de los Organismos Públicos Locales (OPL), al término de la Jornada Electoral</w:t>
      </w:r>
      <w:r w:rsidR="00370FB9" w:rsidRPr="00F43F5B">
        <w:rPr>
          <w:rFonts w:ascii="Arial" w:hAnsi="Arial" w:cs="Arial"/>
          <w:sz w:val="24"/>
          <w:szCs w:val="24"/>
        </w:rPr>
        <w:t>.</w:t>
      </w:r>
    </w:p>
    <w:p w14:paraId="025AC2C7" w14:textId="77777777" w:rsidR="00F43F5B" w:rsidRPr="00F43F5B" w:rsidRDefault="00F43F5B" w:rsidP="00F43F5B">
      <w:pPr>
        <w:shd w:val="clear" w:color="auto" w:fill="FFFFFF"/>
        <w:spacing w:after="0"/>
        <w:jc w:val="both"/>
        <w:rPr>
          <w:rFonts w:ascii="Arial" w:hAnsi="Arial" w:cs="Arial"/>
          <w:sz w:val="24"/>
          <w:szCs w:val="24"/>
        </w:rPr>
      </w:pPr>
    </w:p>
    <w:p w14:paraId="1A9AE2E8" w14:textId="3448A9C3" w:rsidR="004D1C96" w:rsidRDefault="00370FB9" w:rsidP="00F43F5B">
      <w:pPr>
        <w:jc w:val="both"/>
        <w:rPr>
          <w:rFonts w:ascii="Arial" w:hAnsi="Arial" w:cs="Arial"/>
          <w:sz w:val="24"/>
          <w:szCs w:val="24"/>
        </w:rPr>
      </w:pPr>
      <w:r w:rsidRPr="00F43F5B">
        <w:rPr>
          <w:rFonts w:ascii="Arial" w:hAnsi="Arial" w:cs="Arial"/>
          <w:b/>
          <w:bCs/>
          <w:sz w:val="24"/>
          <w:szCs w:val="24"/>
        </w:rPr>
        <w:t>10.</w:t>
      </w:r>
      <w:r w:rsidRPr="000F1E20">
        <w:rPr>
          <w:rFonts w:ascii="Arial" w:hAnsi="Arial" w:cs="Arial"/>
          <w:sz w:val="24"/>
          <w:szCs w:val="24"/>
        </w:rPr>
        <w:t xml:space="preserve"> </w:t>
      </w:r>
      <w:r w:rsidR="000F1E20" w:rsidRPr="000F1E20">
        <w:rPr>
          <w:rFonts w:ascii="Arial" w:hAnsi="Arial" w:cs="Arial"/>
          <w:sz w:val="24"/>
          <w:szCs w:val="24"/>
        </w:rPr>
        <w:t xml:space="preserve">El </w:t>
      </w:r>
      <w:r w:rsidR="00DE63E7" w:rsidRPr="000F1E20">
        <w:rPr>
          <w:rFonts w:ascii="Arial" w:hAnsi="Arial" w:cs="Arial"/>
          <w:sz w:val="24"/>
          <w:szCs w:val="24"/>
        </w:rPr>
        <w:t xml:space="preserve">Anexo técnico </w:t>
      </w:r>
      <w:r w:rsidR="000F1E20" w:rsidRPr="000F1E20">
        <w:rPr>
          <w:rFonts w:ascii="Arial" w:hAnsi="Arial" w:cs="Arial"/>
          <w:sz w:val="24"/>
          <w:szCs w:val="24"/>
        </w:rPr>
        <w:t>del Convenio de Colaboración INE-IEPAC, en su apartado</w:t>
      </w:r>
      <w:r w:rsidR="00EA72D4">
        <w:rPr>
          <w:rFonts w:ascii="Arial" w:hAnsi="Arial" w:cs="Arial"/>
          <w:sz w:val="24"/>
          <w:szCs w:val="24"/>
        </w:rPr>
        <w:t xml:space="preserve"> 5.2 inciso i) </w:t>
      </w:r>
      <w:r w:rsidR="00EA72D4" w:rsidRPr="004E37A8">
        <w:rPr>
          <w:rFonts w:ascii="Arial" w:hAnsi="Arial" w:cs="Arial"/>
          <w:sz w:val="24"/>
          <w:szCs w:val="24"/>
        </w:rPr>
        <w:t>que se tiene aquí por reproducido como si a la letra se insertase para todos los efectos legales a que haya lugar</w:t>
      </w:r>
      <w:r w:rsidR="00EA72D4" w:rsidRPr="00F43F5B">
        <w:rPr>
          <w:rFonts w:ascii="Arial" w:hAnsi="Arial" w:cs="Arial"/>
          <w:sz w:val="24"/>
          <w:szCs w:val="24"/>
        </w:rPr>
        <w:t>, establece</w:t>
      </w:r>
      <w:r w:rsidR="00EA72D4">
        <w:rPr>
          <w:rFonts w:ascii="Arial" w:hAnsi="Arial" w:cs="Arial"/>
          <w:sz w:val="24"/>
          <w:szCs w:val="24"/>
        </w:rPr>
        <w:t xml:space="preserve"> que </w:t>
      </w:r>
      <w:r w:rsidR="00EA72D4" w:rsidRPr="00EA72D4">
        <w:rPr>
          <w:rFonts w:ascii="Arial" w:hAnsi="Arial" w:cs="Arial"/>
          <w:sz w:val="24"/>
          <w:szCs w:val="24"/>
        </w:rPr>
        <w:t>las y los CAE Locales, serán los encargados de llevar a cabo las actividades de asistencia electora</w:t>
      </w:r>
      <w:r w:rsidR="00EA72D4">
        <w:rPr>
          <w:rFonts w:ascii="Arial" w:hAnsi="Arial" w:cs="Arial"/>
          <w:sz w:val="24"/>
          <w:szCs w:val="24"/>
        </w:rPr>
        <w:t>l.</w:t>
      </w:r>
    </w:p>
    <w:p w14:paraId="54A3D699" w14:textId="606297F5" w:rsidR="00964C71" w:rsidRPr="00964C71" w:rsidRDefault="00EA72D4" w:rsidP="00F43F5B">
      <w:pPr>
        <w:jc w:val="both"/>
        <w:rPr>
          <w:rFonts w:ascii="Arial" w:hAnsi="Arial" w:cs="Arial"/>
          <w:sz w:val="24"/>
          <w:szCs w:val="24"/>
        </w:rPr>
      </w:pPr>
      <w:r w:rsidRPr="00EA72D4">
        <w:rPr>
          <w:rFonts w:ascii="Arial" w:hAnsi="Arial" w:cs="Arial"/>
          <w:b/>
          <w:bCs/>
          <w:sz w:val="24"/>
          <w:szCs w:val="24"/>
        </w:rPr>
        <w:t>11.</w:t>
      </w:r>
      <w:r>
        <w:rPr>
          <w:rFonts w:ascii="Arial" w:hAnsi="Arial" w:cs="Arial"/>
          <w:sz w:val="24"/>
          <w:szCs w:val="24"/>
        </w:rPr>
        <w:t xml:space="preserve"> </w:t>
      </w:r>
      <w:r w:rsidRPr="000F1E20">
        <w:rPr>
          <w:rFonts w:ascii="Arial" w:hAnsi="Arial" w:cs="Arial"/>
          <w:sz w:val="24"/>
          <w:szCs w:val="24"/>
        </w:rPr>
        <w:t xml:space="preserve">El Anexo técnico del Convenio de Colaboración INE-IEPAC, en su apartado </w:t>
      </w:r>
      <w:r w:rsidR="000F1E20" w:rsidRPr="000F1E20">
        <w:rPr>
          <w:rFonts w:ascii="Arial" w:hAnsi="Arial" w:cs="Arial"/>
          <w:sz w:val="24"/>
          <w:szCs w:val="24"/>
        </w:rPr>
        <w:t xml:space="preserve">17.2 </w:t>
      </w:r>
      <w:r w:rsidRPr="004E37A8">
        <w:rPr>
          <w:rFonts w:ascii="Arial" w:hAnsi="Arial" w:cs="Arial"/>
          <w:sz w:val="24"/>
          <w:szCs w:val="24"/>
        </w:rPr>
        <w:t>que se tiene aquí por reproducido como si a la letra se insertase para todos los efectos legales a que haya lugar</w:t>
      </w:r>
      <w:r>
        <w:rPr>
          <w:rFonts w:ascii="Arial" w:hAnsi="Arial" w:cs="Arial"/>
          <w:sz w:val="24"/>
          <w:szCs w:val="24"/>
        </w:rPr>
        <w:t xml:space="preserve">, </w:t>
      </w:r>
      <w:r w:rsidR="000F1E20" w:rsidRPr="000F1E20">
        <w:rPr>
          <w:rFonts w:ascii="Arial" w:hAnsi="Arial" w:cs="Arial"/>
          <w:sz w:val="24"/>
          <w:szCs w:val="24"/>
        </w:rPr>
        <w:t>relativo a la Recepción de los paquetes electorales y urnas electrónicas al término de la Jornada Electoral</w:t>
      </w:r>
      <w:r>
        <w:rPr>
          <w:rFonts w:ascii="Arial" w:hAnsi="Arial" w:cs="Arial"/>
          <w:sz w:val="24"/>
          <w:szCs w:val="24"/>
        </w:rPr>
        <w:t>.</w:t>
      </w:r>
    </w:p>
    <w:p w14:paraId="5F503756" w14:textId="77777777" w:rsidR="00F43F5B" w:rsidRDefault="00F43F5B" w:rsidP="00F43F5B">
      <w:pPr>
        <w:jc w:val="center"/>
        <w:rPr>
          <w:rFonts w:ascii="Arial" w:hAnsi="Arial" w:cs="Arial"/>
          <w:b/>
          <w:bCs/>
          <w:sz w:val="24"/>
          <w:szCs w:val="24"/>
        </w:rPr>
      </w:pPr>
    </w:p>
    <w:p w14:paraId="3B8129A4" w14:textId="6EEEEEE8" w:rsidR="00427782" w:rsidRPr="00F43F5B" w:rsidRDefault="00D61FD5" w:rsidP="00F43F5B">
      <w:pPr>
        <w:jc w:val="center"/>
        <w:rPr>
          <w:rFonts w:ascii="Arial" w:hAnsi="Arial" w:cs="Arial"/>
          <w:b/>
          <w:bCs/>
          <w:sz w:val="24"/>
          <w:szCs w:val="24"/>
        </w:rPr>
      </w:pPr>
      <w:r w:rsidRPr="00F43F5B">
        <w:rPr>
          <w:rFonts w:ascii="Arial" w:hAnsi="Arial" w:cs="Arial"/>
          <w:b/>
          <w:bCs/>
          <w:sz w:val="24"/>
          <w:szCs w:val="24"/>
        </w:rPr>
        <w:t>CONSIDERANDO</w:t>
      </w:r>
    </w:p>
    <w:p w14:paraId="1A3E3899" w14:textId="2367D528" w:rsidR="00AA7D61" w:rsidRDefault="00AA7D61" w:rsidP="00AA7D61">
      <w:pPr>
        <w:jc w:val="both"/>
        <w:rPr>
          <w:rFonts w:ascii="Arial" w:hAnsi="Arial" w:cs="Arial"/>
          <w:sz w:val="24"/>
          <w:szCs w:val="24"/>
        </w:rPr>
      </w:pPr>
      <w:r w:rsidRPr="00F43F5B">
        <w:rPr>
          <w:rFonts w:ascii="Arial" w:hAnsi="Arial" w:cs="Arial"/>
          <w:b/>
          <w:bCs/>
          <w:sz w:val="24"/>
          <w:szCs w:val="24"/>
        </w:rPr>
        <w:t>1.</w:t>
      </w:r>
      <w:r>
        <w:rPr>
          <w:rFonts w:ascii="Arial" w:hAnsi="Arial" w:cs="Arial"/>
          <w:sz w:val="24"/>
          <w:szCs w:val="24"/>
        </w:rPr>
        <w:t xml:space="preserve"> Que el artículo 35 fracciones I y II de la CPEUM señala, entre otros, como derechos de las y los ciudadanos; votar en las elecciones populares; poder ser votado para todos los cargos de elección popular, teniendo las calidades que </w:t>
      </w:r>
      <w:r>
        <w:rPr>
          <w:rFonts w:ascii="Arial" w:hAnsi="Arial" w:cs="Arial"/>
          <w:sz w:val="24"/>
          <w:szCs w:val="24"/>
        </w:rPr>
        <w:lastRenderedPageBreak/>
        <w:t>establezca la ley; así como solicitar su registro como candidatos(as) ante la autoridad electoral de manera independiente, siempre que cumplan con los requisitos, condiciones y términos que determine la legislación.</w:t>
      </w:r>
    </w:p>
    <w:p w14:paraId="4A62F7E0" w14:textId="715E7C40" w:rsidR="00DE63E7" w:rsidRDefault="00DE63E7" w:rsidP="00DE63E7">
      <w:pPr>
        <w:jc w:val="both"/>
        <w:rPr>
          <w:rFonts w:ascii="Arial" w:hAnsi="Arial" w:cs="Arial"/>
          <w:sz w:val="24"/>
          <w:szCs w:val="24"/>
        </w:rPr>
      </w:pPr>
      <w:r w:rsidRPr="00F43F5B">
        <w:rPr>
          <w:rFonts w:ascii="Arial" w:hAnsi="Arial" w:cs="Arial"/>
          <w:sz w:val="24"/>
          <w:szCs w:val="24"/>
        </w:rPr>
        <w:t xml:space="preserve"> </w:t>
      </w:r>
      <w:r w:rsidR="00AA7D61" w:rsidRPr="00F43F5B">
        <w:rPr>
          <w:rFonts w:ascii="Arial" w:hAnsi="Arial" w:cs="Arial"/>
          <w:b/>
          <w:bCs/>
          <w:sz w:val="24"/>
          <w:szCs w:val="24"/>
        </w:rPr>
        <w:t>2.</w:t>
      </w:r>
      <w:r w:rsidR="00AA7D61">
        <w:rPr>
          <w:rFonts w:ascii="Arial" w:hAnsi="Arial" w:cs="Arial"/>
          <w:sz w:val="24"/>
          <w:szCs w:val="24"/>
        </w:rPr>
        <w:t xml:space="preserve"> </w:t>
      </w:r>
      <w:r>
        <w:rPr>
          <w:rFonts w:ascii="Arial" w:hAnsi="Arial" w:cs="Arial"/>
          <w:sz w:val="24"/>
          <w:szCs w:val="24"/>
        </w:rPr>
        <w:t>Que de conformidad con lo que establecen los artículos 39, 40 y 41, primer párrafo de la CPEUM, la soberanía nacional reside esencial y originariamente en el pueblo; es voluntad del pueblo mexicano constituirse en una República representativa, democrática, laica y federal; el pueblo ejerce su soberanía por medio de los Poderes de la Unión, en los casos de la competencia de éstos, y por los de los Estados y la Ciudad de México, en lo que toca a sus regímenes interiores.</w:t>
      </w:r>
    </w:p>
    <w:p w14:paraId="51CC24B7" w14:textId="61691D1F" w:rsidR="00DE63E7" w:rsidRDefault="00AA7D61" w:rsidP="00DE63E7">
      <w:pPr>
        <w:jc w:val="both"/>
        <w:rPr>
          <w:rFonts w:ascii="Arial" w:hAnsi="Arial" w:cs="Arial"/>
          <w:sz w:val="24"/>
          <w:szCs w:val="24"/>
        </w:rPr>
      </w:pPr>
      <w:r w:rsidRPr="00F43F5B">
        <w:rPr>
          <w:rFonts w:ascii="Arial" w:hAnsi="Arial" w:cs="Arial"/>
          <w:b/>
          <w:bCs/>
          <w:sz w:val="24"/>
          <w:szCs w:val="24"/>
        </w:rPr>
        <w:t>3</w:t>
      </w:r>
      <w:r w:rsidR="00DE63E7" w:rsidRPr="00F43F5B">
        <w:rPr>
          <w:rFonts w:ascii="Arial" w:hAnsi="Arial" w:cs="Arial"/>
          <w:b/>
          <w:bCs/>
          <w:sz w:val="24"/>
          <w:szCs w:val="24"/>
        </w:rPr>
        <w:t>.</w:t>
      </w:r>
      <w:r w:rsidR="00DE63E7">
        <w:rPr>
          <w:rFonts w:ascii="Arial" w:hAnsi="Arial" w:cs="Arial"/>
          <w:sz w:val="24"/>
          <w:szCs w:val="24"/>
        </w:rPr>
        <w:t xml:space="preserve"> Que el artículo 41, tercero párrafo de la CPEUM, establece que la renovación de los poderes Legislativo y Ejecutivo se realizará mediante elecciones libres, auténticas y periódicas.</w:t>
      </w:r>
    </w:p>
    <w:p w14:paraId="14EEAC07" w14:textId="586E3146" w:rsidR="00DE63E7" w:rsidRDefault="00AA7D61" w:rsidP="00DE63E7">
      <w:pPr>
        <w:jc w:val="both"/>
        <w:rPr>
          <w:rFonts w:ascii="Arial" w:hAnsi="Arial" w:cs="Arial"/>
          <w:sz w:val="24"/>
          <w:szCs w:val="24"/>
        </w:rPr>
      </w:pPr>
      <w:r w:rsidRPr="00F43F5B">
        <w:rPr>
          <w:rFonts w:ascii="Arial" w:hAnsi="Arial" w:cs="Arial"/>
          <w:b/>
          <w:bCs/>
          <w:sz w:val="24"/>
          <w:szCs w:val="24"/>
        </w:rPr>
        <w:t>4.</w:t>
      </w:r>
      <w:r>
        <w:rPr>
          <w:rFonts w:ascii="Arial" w:hAnsi="Arial" w:cs="Arial"/>
          <w:sz w:val="24"/>
          <w:szCs w:val="24"/>
        </w:rPr>
        <w:t xml:space="preserve"> </w:t>
      </w:r>
      <w:r w:rsidR="000F4F9A">
        <w:rPr>
          <w:rFonts w:ascii="Arial" w:hAnsi="Arial" w:cs="Arial"/>
          <w:sz w:val="24"/>
          <w:szCs w:val="24"/>
        </w:rPr>
        <w:t xml:space="preserve">Que el punto </w:t>
      </w:r>
      <w:r w:rsidR="000F4F9A" w:rsidRPr="000F4F9A">
        <w:rPr>
          <w:rFonts w:ascii="Arial" w:hAnsi="Arial" w:cs="Arial"/>
          <w:sz w:val="24"/>
          <w:szCs w:val="24"/>
        </w:rPr>
        <w:t xml:space="preserve">17.2 del Anexo Técnico del Convenio de Colaboración entre el </w:t>
      </w:r>
      <w:r w:rsidR="000F4F9A" w:rsidRPr="000F4F9A">
        <w:rPr>
          <w:rFonts w:ascii="Arial" w:hAnsi="Arial" w:cs="Arial"/>
          <w:sz w:val="24"/>
          <w:szCs w:val="24"/>
        </w:rPr>
        <w:br/>
        <w:t>INE y el IEPAC, relativo a la Recepción de los paquetes electorales y urnas electrónicas al término de la Jornada Electoral</w:t>
      </w:r>
      <w:r w:rsidR="000F4F9A">
        <w:rPr>
          <w:rFonts w:ascii="Arial" w:hAnsi="Arial" w:cs="Arial"/>
          <w:sz w:val="24"/>
          <w:szCs w:val="24"/>
        </w:rPr>
        <w:t>, establece que l</w:t>
      </w:r>
      <w:r w:rsidR="000F4F9A" w:rsidRPr="000F4F9A">
        <w:rPr>
          <w:rFonts w:ascii="Arial" w:hAnsi="Arial" w:cs="Arial"/>
          <w:sz w:val="24"/>
          <w:szCs w:val="24"/>
        </w:rPr>
        <w:t>a recepción, salvaguarda y depósito de los paquetes electorales en que se contengan los expedientes de casilla y, en su caso, urnas electrónicas, por parte de los órganos competentes de ambas instituciones, se desarrollará de conformidad con el artículo 383 y el Anexo 14 de</w:t>
      </w:r>
      <w:r w:rsidR="000F4F9A">
        <w:rPr>
          <w:rFonts w:ascii="Arial" w:hAnsi="Arial" w:cs="Arial"/>
          <w:sz w:val="24"/>
          <w:szCs w:val="24"/>
        </w:rPr>
        <w:t>l Reglamento de Elecciones,</w:t>
      </w:r>
      <w:r w:rsidR="000F4F9A" w:rsidRPr="000F4F9A">
        <w:rPr>
          <w:rFonts w:ascii="Arial" w:hAnsi="Arial" w:cs="Arial"/>
          <w:sz w:val="24"/>
          <w:szCs w:val="24"/>
        </w:rPr>
        <w:t xml:space="preserve"> con el propósito de garantizar una eficiente y correcta recepción de paquetes electorales y, en su caso, urnas electrónicas.</w:t>
      </w:r>
    </w:p>
    <w:p w14:paraId="2D8C6755" w14:textId="188F13F1" w:rsidR="00427782" w:rsidRPr="00D61FD5" w:rsidRDefault="000F4F9A" w:rsidP="00F43F5B">
      <w:pPr>
        <w:jc w:val="both"/>
        <w:rPr>
          <w:rFonts w:ascii="Arial" w:hAnsi="Arial" w:cs="Arial"/>
          <w:sz w:val="24"/>
          <w:szCs w:val="24"/>
        </w:rPr>
      </w:pPr>
      <w:r w:rsidRPr="00F43F5B">
        <w:rPr>
          <w:rFonts w:ascii="Arial" w:hAnsi="Arial" w:cs="Arial"/>
          <w:b/>
          <w:bCs/>
          <w:sz w:val="24"/>
          <w:szCs w:val="24"/>
        </w:rPr>
        <w:t>5.</w:t>
      </w:r>
      <w:r>
        <w:rPr>
          <w:rFonts w:ascii="Arial" w:hAnsi="Arial" w:cs="Arial"/>
          <w:sz w:val="24"/>
          <w:szCs w:val="24"/>
        </w:rPr>
        <w:t xml:space="preserve"> Que este Instituto</w:t>
      </w:r>
      <w:r w:rsidR="00D61FD5">
        <w:rPr>
          <w:rFonts w:ascii="Arial" w:hAnsi="Arial" w:cs="Arial"/>
          <w:sz w:val="24"/>
          <w:szCs w:val="24"/>
        </w:rPr>
        <w:t>,</w:t>
      </w:r>
      <w:r>
        <w:rPr>
          <w:rFonts w:ascii="Arial" w:hAnsi="Arial" w:cs="Arial"/>
          <w:sz w:val="24"/>
          <w:szCs w:val="24"/>
        </w:rPr>
        <w:t xml:space="preserve"> en cumplimiento del inciso c) del apartado 17.2 del Anexo Técnico </w:t>
      </w:r>
      <w:r w:rsidRPr="000F4F9A">
        <w:rPr>
          <w:rFonts w:ascii="Arial" w:hAnsi="Arial" w:cs="Arial"/>
          <w:sz w:val="24"/>
          <w:szCs w:val="24"/>
        </w:rPr>
        <w:t>del Convenio de Colaboración entre el</w:t>
      </w:r>
      <w:r w:rsidR="000F1E20">
        <w:rPr>
          <w:rFonts w:ascii="Arial" w:hAnsi="Arial" w:cs="Arial"/>
          <w:sz w:val="24"/>
          <w:szCs w:val="24"/>
        </w:rPr>
        <w:t xml:space="preserve"> </w:t>
      </w:r>
      <w:r w:rsidRPr="000F4F9A">
        <w:rPr>
          <w:rFonts w:ascii="Arial" w:hAnsi="Arial" w:cs="Arial"/>
          <w:sz w:val="24"/>
          <w:szCs w:val="24"/>
        </w:rPr>
        <w:t>INE y el IEPAC</w:t>
      </w:r>
      <w:r w:rsidR="000F1E20">
        <w:rPr>
          <w:rFonts w:ascii="Arial" w:hAnsi="Arial" w:cs="Arial"/>
          <w:sz w:val="24"/>
          <w:szCs w:val="24"/>
        </w:rPr>
        <w:t xml:space="preserve">, </w:t>
      </w:r>
      <w:r w:rsidR="000F1E20" w:rsidRPr="000F1E20">
        <w:rPr>
          <w:rFonts w:ascii="Arial" w:hAnsi="Arial" w:cs="Arial"/>
          <w:sz w:val="24"/>
          <w:szCs w:val="24"/>
        </w:rPr>
        <w:t xml:space="preserve">previo a la aprobación de los modelos operativos por parte de los órganos desconcentrados del IEPAC, remitió a la Junta Local Ejecutiva del INE, </w:t>
      </w:r>
      <w:r w:rsidR="00D61FD5" w:rsidRPr="00D61FD5">
        <w:rPr>
          <w:rFonts w:ascii="Arial" w:hAnsi="Arial" w:cs="Arial"/>
          <w:sz w:val="24"/>
          <w:szCs w:val="24"/>
        </w:rPr>
        <w:t xml:space="preserve">los 106 modelos operativos y diagramas de flujo de los Consejo Municipales Electorales </w:t>
      </w:r>
      <w:r w:rsidR="000F1E20">
        <w:rPr>
          <w:rFonts w:ascii="Arial" w:hAnsi="Arial" w:cs="Arial"/>
          <w:sz w:val="24"/>
          <w:szCs w:val="24"/>
        </w:rPr>
        <w:t>para que</w:t>
      </w:r>
      <w:r w:rsidR="000F1E20" w:rsidRPr="000F1E20">
        <w:rPr>
          <w:rFonts w:ascii="Arial" w:hAnsi="Arial" w:cs="Arial"/>
          <w:sz w:val="24"/>
          <w:szCs w:val="24"/>
        </w:rPr>
        <w:t xml:space="preserve"> emit</w:t>
      </w:r>
      <w:r w:rsidR="000F1E20">
        <w:rPr>
          <w:rFonts w:ascii="Arial" w:hAnsi="Arial" w:cs="Arial"/>
          <w:sz w:val="24"/>
          <w:szCs w:val="24"/>
        </w:rPr>
        <w:t>an</w:t>
      </w:r>
      <w:r w:rsidR="000F1E20" w:rsidRPr="000F1E20">
        <w:rPr>
          <w:rFonts w:ascii="Arial" w:hAnsi="Arial" w:cs="Arial"/>
          <w:sz w:val="24"/>
          <w:szCs w:val="24"/>
        </w:rPr>
        <w:t xml:space="preserve"> las observaciones a que haya lugar.</w:t>
      </w:r>
    </w:p>
    <w:p w14:paraId="590273A0" w14:textId="71C339A1" w:rsidR="00D61FD5" w:rsidRDefault="00067960" w:rsidP="00043537">
      <w:pPr>
        <w:shd w:val="clear" w:color="auto" w:fill="FFFFFF"/>
        <w:spacing w:after="0"/>
        <w:jc w:val="both"/>
        <w:rPr>
          <w:rFonts w:ascii="Arial" w:hAnsi="Arial" w:cs="Arial"/>
          <w:sz w:val="24"/>
          <w:szCs w:val="24"/>
        </w:rPr>
      </w:pPr>
      <w:r w:rsidRPr="00F43F5B">
        <w:rPr>
          <w:rFonts w:ascii="Arial" w:hAnsi="Arial" w:cs="Arial"/>
          <w:b/>
          <w:bCs/>
          <w:sz w:val="24"/>
          <w:szCs w:val="24"/>
        </w:rPr>
        <w:t>6.</w:t>
      </w:r>
      <w:r w:rsidRPr="00D61FD5">
        <w:rPr>
          <w:rFonts w:ascii="Arial" w:hAnsi="Arial" w:cs="Arial"/>
          <w:sz w:val="24"/>
          <w:szCs w:val="24"/>
        </w:rPr>
        <w:t xml:space="preserve"> Que </w:t>
      </w:r>
      <w:r w:rsidR="008918C4" w:rsidRPr="00D61FD5">
        <w:rPr>
          <w:rFonts w:ascii="Arial" w:hAnsi="Arial" w:cs="Arial"/>
          <w:sz w:val="24"/>
          <w:szCs w:val="24"/>
        </w:rPr>
        <w:t>es menester la aprobación de</w:t>
      </w:r>
      <w:r w:rsidRPr="00D61FD5">
        <w:rPr>
          <w:rFonts w:ascii="Arial" w:hAnsi="Arial" w:cs="Arial"/>
          <w:sz w:val="24"/>
          <w:szCs w:val="24"/>
        </w:rPr>
        <w:t xml:space="preserve"> un acuerdo que contemple el </w:t>
      </w:r>
      <w:r w:rsidR="008918C4" w:rsidRPr="00D61FD5">
        <w:rPr>
          <w:rFonts w:ascii="Arial" w:hAnsi="Arial" w:cs="Arial"/>
          <w:sz w:val="24"/>
          <w:szCs w:val="24"/>
        </w:rPr>
        <w:t>Modelo Operativo de Recepción de los Paquetes Electorales al término de la jornada, así como la designación de un número suficiente de auxiliares de recepción</w:t>
      </w:r>
      <w:r w:rsidR="00F43F5B">
        <w:rPr>
          <w:rFonts w:ascii="Arial" w:hAnsi="Arial" w:cs="Arial"/>
          <w:sz w:val="24"/>
          <w:szCs w:val="24"/>
        </w:rPr>
        <w:t>,</w:t>
      </w:r>
      <w:r w:rsidR="008918C4" w:rsidRPr="00D61FD5">
        <w:rPr>
          <w:rFonts w:ascii="Arial" w:hAnsi="Arial" w:cs="Arial"/>
          <w:sz w:val="24"/>
          <w:szCs w:val="24"/>
        </w:rPr>
        <w:t xml:space="preserve"> traslado, y generales para la implementación del procedimiento en el Proceso Electoral Local 2020-2021, a efecto de dar cumplimiento a</w:t>
      </w:r>
      <w:r w:rsidR="00D61FD5" w:rsidRPr="00D61FD5">
        <w:rPr>
          <w:rFonts w:ascii="Arial" w:hAnsi="Arial" w:cs="Arial"/>
          <w:sz w:val="24"/>
          <w:szCs w:val="24"/>
        </w:rPr>
        <w:t xml:space="preserve"> lo dispuesto en el Anexo 14 del </w:t>
      </w:r>
      <w:r w:rsidR="00D61FD5">
        <w:rPr>
          <w:rFonts w:ascii="Arial" w:hAnsi="Arial" w:cs="Arial"/>
          <w:sz w:val="24"/>
          <w:szCs w:val="24"/>
        </w:rPr>
        <w:t>Reglamento de Elecciones, que dice:</w:t>
      </w:r>
    </w:p>
    <w:p w14:paraId="6986DCA8" w14:textId="77777777" w:rsidR="00043537" w:rsidRPr="00F43F5B" w:rsidRDefault="00043537" w:rsidP="00043537">
      <w:pPr>
        <w:shd w:val="clear" w:color="auto" w:fill="FFFFFF"/>
        <w:spacing w:after="0"/>
        <w:jc w:val="both"/>
        <w:rPr>
          <w:rFonts w:ascii="Arial" w:hAnsi="Arial" w:cs="Arial"/>
          <w:sz w:val="24"/>
          <w:szCs w:val="24"/>
        </w:rPr>
      </w:pPr>
    </w:p>
    <w:p w14:paraId="452A6652" w14:textId="4E1AB796" w:rsidR="00370FB9" w:rsidRPr="00362BA5" w:rsidRDefault="00370FB9" w:rsidP="00753BCA">
      <w:pPr>
        <w:jc w:val="both"/>
        <w:rPr>
          <w:rFonts w:ascii="Arial" w:hAnsi="Arial" w:cs="Arial"/>
          <w:i/>
          <w:iCs/>
        </w:rPr>
      </w:pPr>
      <w:r w:rsidRPr="00362BA5">
        <w:rPr>
          <w:rFonts w:ascii="Arial" w:hAnsi="Arial" w:cs="Arial"/>
          <w:i/>
          <w:iCs/>
        </w:rPr>
        <w:t xml:space="preserve">“1. El órgano competente del Instituto y del OPL, a más tardar en la segunda semana de mayo, aprobará mediante acuerdo el modelo operativo de recepción de los paquetes electorales al término de la jornada electoral, así como la designación de un número suficiente de auxiliares de recepción, traslado, generales y de orientación para la </w:t>
      </w:r>
      <w:r w:rsidRPr="00362BA5">
        <w:rPr>
          <w:rFonts w:ascii="Arial" w:hAnsi="Arial" w:cs="Arial"/>
          <w:i/>
          <w:iCs/>
        </w:rPr>
        <w:lastRenderedPageBreak/>
        <w:t xml:space="preserve">implementación del procedimiento; quienes podrán ser personal administrativo del propio órgano, para tal efecto se elaborará un diagrama de flujo que ilustre gráficamente el modelo operativo aprobado, mismo que se adjuntará como anexo al acuerdo correspondiente. Para lo cual se requerirá la opinión de los Vocales de las Juntas Distritales del Instituto, previo a su aprobación. El Consejo Distrital y el Órgano competente del instituto harpa del conocimiento de la Junta local correspondiente, así como el Órgano competente del OPL lo comunicará a su Órgano Superior de Dirección a más tardar al día siguiente de su aprobación, el acuerdo relativo al modelo operativo, para concentrar y remitirlos a la Junta Local del Instituto que corresponda, a más tardar en la primera semana de junio.”  </w:t>
      </w:r>
    </w:p>
    <w:p w14:paraId="6764762C" w14:textId="59CE1943" w:rsidR="002E4CB0" w:rsidRDefault="00964C71" w:rsidP="00753BCA">
      <w:pPr>
        <w:jc w:val="both"/>
        <w:rPr>
          <w:rFonts w:ascii="Arial" w:hAnsi="Arial" w:cs="Arial"/>
          <w:sz w:val="24"/>
          <w:szCs w:val="24"/>
        </w:rPr>
      </w:pPr>
      <w:r w:rsidRPr="00043537">
        <w:rPr>
          <w:rFonts w:ascii="Arial" w:hAnsi="Arial" w:cs="Arial"/>
          <w:b/>
          <w:bCs/>
          <w:sz w:val="24"/>
          <w:szCs w:val="24"/>
        </w:rPr>
        <w:t>7</w:t>
      </w:r>
      <w:r w:rsidR="00362BA5" w:rsidRPr="00043537">
        <w:rPr>
          <w:rFonts w:ascii="Arial" w:hAnsi="Arial" w:cs="Arial"/>
          <w:b/>
          <w:bCs/>
          <w:sz w:val="24"/>
          <w:szCs w:val="24"/>
        </w:rPr>
        <w:t>.</w:t>
      </w:r>
      <w:r w:rsidR="00362BA5" w:rsidRPr="00964C71">
        <w:rPr>
          <w:rFonts w:ascii="Arial" w:hAnsi="Arial" w:cs="Arial"/>
          <w:sz w:val="24"/>
          <w:szCs w:val="24"/>
        </w:rPr>
        <w:t xml:space="preserve"> </w:t>
      </w:r>
      <w:r w:rsidR="00043537">
        <w:rPr>
          <w:rFonts w:ascii="Arial" w:hAnsi="Arial" w:cs="Arial"/>
          <w:sz w:val="24"/>
          <w:szCs w:val="24"/>
        </w:rPr>
        <w:t>Que e</w:t>
      </w:r>
      <w:r w:rsidR="00362BA5" w:rsidRPr="00964C71">
        <w:rPr>
          <w:rFonts w:ascii="Arial" w:hAnsi="Arial" w:cs="Arial"/>
          <w:sz w:val="24"/>
          <w:szCs w:val="24"/>
        </w:rPr>
        <w:t xml:space="preserve">l Modelo Operativo y el Diagrama de flujo se encuentran plasmados como Anexos, los cuales forman parte integrante del presente </w:t>
      </w:r>
      <w:r w:rsidR="00D61FD5" w:rsidRPr="00964C71">
        <w:rPr>
          <w:rFonts w:ascii="Arial" w:hAnsi="Arial" w:cs="Arial"/>
          <w:sz w:val="24"/>
          <w:szCs w:val="24"/>
        </w:rPr>
        <w:t>A</w:t>
      </w:r>
      <w:r w:rsidR="00362BA5" w:rsidRPr="00964C71">
        <w:rPr>
          <w:rFonts w:ascii="Arial" w:hAnsi="Arial" w:cs="Arial"/>
          <w:sz w:val="24"/>
          <w:szCs w:val="24"/>
        </w:rPr>
        <w:t>cuerdo.</w:t>
      </w:r>
    </w:p>
    <w:p w14:paraId="52AC058B" w14:textId="22670F24" w:rsidR="00763F63" w:rsidRPr="00964C71" w:rsidRDefault="00763F63" w:rsidP="00753BCA">
      <w:pPr>
        <w:jc w:val="both"/>
        <w:rPr>
          <w:rFonts w:ascii="Arial" w:hAnsi="Arial" w:cs="Arial"/>
          <w:sz w:val="24"/>
          <w:szCs w:val="24"/>
        </w:rPr>
      </w:pPr>
      <w:r>
        <w:rPr>
          <w:rFonts w:ascii="Arial" w:hAnsi="Arial" w:cs="Arial"/>
          <w:b/>
          <w:bCs/>
          <w:sz w:val="24"/>
          <w:szCs w:val="24"/>
        </w:rPr>
        <w:t>8</w:t>
      </w:r>
      <w:r w:rsidRPr="00763F63">
        <w:rPr>
          <w:rFonts w:ascii="Arial" w:hAnsi="Arial" w:cs="Arial"/>
          <w:b/>
          <w:bCs/>
          <w:sz w:val="24"/>
          <w:szCs w:val="24"/>
        </w:rPr>
        <w:t>.</w:t>
      </w:r>
      <w:r>
        <w:rPr>
          <w:rFonts w:ascii="Arial" w:hAnsi="Arial" w:cs="Arial"/>
          <w:sz w:val="24"/>
          <w:szCs w:val="24"/>
        </w:rPr>
        <w:t xml:space="preserve"> Que el artículo 168 fracción VI de la LIPEY, establece como atribución y obligación de los Consejos Municipales, contar con las y los asistentes necesarios para el ejercicio de sus funciones que le </w:t>
      </w:r>
      <w:proofErr w:type="gramStart"/>
      <w:r>
        <w:rPr>
          <w:rFonts w:ascii="Arial" w:hAnsi="Arial" w:cs="Arial"/>
          <w:sz w:val="24"/>
          <w:szCs w:val="24"/>
        </w:rPr>
        <w:t>asigne</w:t>
      </w:r>
      <w:proofErr w:type="gramEnd"/>
      <w:r>
        <w:rPr>
          <w:rFonts w:ascii="Arial" w:hAnsi="Arial" w:cs="Arial"/>
          <w:sz w:val="24"/>
          <w:szCs w:val="24"/>
        </w:rPr>
        <w:t xml:space="preserve"> el Consejo General del Instituto.</w:t>
      </w:r>
    </w:p>
    <w:p w14:paraId="7CA837CE" w14:textId="4781CE24" w:rsidR="002E4CB0" w:rsidRDefault="00763F63" w:rsidP="00753BCA">
      <w:pPr>
        <w:jc w:val="both"/>
        <w:rPr>
          <w:rFonts w:ascii="Arial" w:hAnsi="Arial" w:cs="Arial"/>
          <w:sz w:val="24"/>
          <w:szCs w:val="24"/>
        </w:rPr>
      </w:pPr>
      <w:r>
        <w:rPr>
          <w:rFonts w:ascii="Arial" w:hAnsi="Arial" w:cs="Arial"/>
          <w:b/>
          <w:bCs/>
          <w:sz w:val="24"/>
          <w:szCs w:val="24"/>
        </w:rPr>
        <w:t>9</w:t>
      </w:r>
      <w:r w:rsidR="00362BA5" w:rsidRPr="009644E9">
        <w:rPr>
          <w:rFonts w:ascii="Arial" w:hAnsi="Arial" w:cs="Arial"/>
          <w:b/>
          <w:bCs/>
          <w:sz w:val="24"/>
          <w:szCs w:val="24"/>
        </w:rPr>
        <w:t>.</w:t>
      </w:r>
      <w:r w:rsidR="00362BA5" w:rsidRPr="00964C71">
        <w:rPr>
          <w:rFonts w:ascii="Arial" w:hAnsi="Arial" w:cs="Arial"/>
          <w:sz w:val="24"/>
          <w:szCs w:val="24"/>
        </w:rPr>
        <w:t xml:space="preserve"> </w:t>
      </w:r>
      <w:r w:rsidR="009644E9">
        <w:rPr>
          <w:rFonts w:ascii="Arial" w:hAnsi="Arial" w:cs="Arial"/>
          <w:sz w:val="24"/>
          <w:szCs w:val="24"/>
        </w:rPr>
        <w:t>Que</w:t>
      </w:r>
      <w:r w:rsidR="00362BA5" w:rsidRPr="00964C71">
        <w:rPr>
          <w:rFonts w:ascii="Arial" w:hAnsi="Arial" w:cs="Arial"/>
          <w:sz w:val="24"/>
          <w:szCs w:val="24"/>
        </w:rPr>
        <w:t xml:space="preserve"> </w:t>
      </w:r>
      <w:r w:rsidR="002E4CB0">
        <w:rPr>
          <w:rFonts w:ascii="Arial" w:hAnsi="Arial" w:cs="Arial"/>
          <w:sz w:val="24"/>
          <w:szCs w:val="24"/>
        </w:rPr>
        <w:t>de conformidad con el inciso i) del apartado 5.2 del Anexo Técnico del Convenio de Colaboración INE-IEPAC</w:t>
      </w:r>
      <w:r>
        <w:rPr>
          <w:rFonts w:ascii="Arial" w:hAnsi="Arial" w:cs="Arial"/>
          <w:sz w:val="24"/>
          <w:szCs w:val="24"/>
        </w:rPr>
        <w:t>, p</w:t>
      </w:r>
      <w:r w:rsidRPr="00763F63">
        <w:rPr>
          <w:rFonts w:ascii="Arial" w:hAnsi="Arial" w:cs="Arial"/>
          <w:sz w:val="24"/>
          <w:szCs w:val="24"/>
        </w:rPr>
        <w:t>ara las elecciones locales</w:t>
      </w:r>
      <w:r>
        <w:rPr>
          <w:rFonts w:ascii="Arial" w:hAnsi="Arial" w:cs="Arial"/>
          <w:sz w:val="24"/>
          <w:szCs w:val="24"/>
        </w:rPr>
        <w:t xml:space="preserve">, </w:t>
      </w:r>
      <w:r w:rsidRPr="00763F63">
        <w:rPr>
          <w:rFonts w:ascii="Arial" w:hAnsi="Arial" w:cs="Arial"/>
          <w:sz w:val="24"/>
          <w:szCs w:val="24"/>
        </w:rPr>
        <w:t>las y los CAE Locales, serán los encargados de llevar a cabo las actividades de asistencia electoral durante la integración de los paquetes electorales de la elección local, la entrega de los paquetes electorales locales a las y los Presidentes de las Mesas Directivas de Casilla, la implementación de los mecanismos de recolección y traslado de los paquetes electorales locales al término de la jornada electoral; así como, auxiliar en los cómputos locales distritales y/o municipales.</w:t>
      </w:r>
    </w:p>
    <w:p w14:paraId="74EC617D" w14:textId="0F7D042A" w:rsidR="00362BA5" w:rsidRDefault="00763F63" w:rsidP="00753BCA">
      <w:pPr>
        <w:jc w:val="both"/>
        <w:rPr>
          <w:rFonts w:ascii="Arial" w:hAnsi="Arial" w:cs="Arial"/>
          <w:sz w:val="24"/>
          <w:szCs w:val="24"/>
        </w:rPr>
      </w:pPr>
      <w:r>
        <w:rPr>
          <w:rFonts w:ascii="Arial" w:hAnsi="Arial" w:cs="Arial"/>
          <w:b/>
          <w:bCs/>
          <w:sz w:val="24"/>
          <w:szCs w:val="24"/>
        </w:rPr>
        <w:t>10</w:t>
      </w:r>
      <w:r w:rsidRPr="00763F63">
        <w:rPr>
          <w:rFonts w:ascii="Arial" w:hAnsi="Arial" w:cs="Arial"/>
          <w:b/>
          <w:bCs/>
          <w:sz w:val="24"/>
          <w:szCs w:val="24"/>
        </w:rPr>
        <w:t>.</w:t>
      </w:r>
      <w:r>
        <w:rPr>
          <w:rFonts w:ascii="Arial" w:hAnsi="Arial" w:cs="Arial"/>
          <w:sz w:val="24"/>
          <w:szCs w:val="24"/>
        </w:rPr>
        <w:t xml:space="preserve"> Que consecuentemente con lo anterior, este Consejo Municipal</w:t>
      </w:r>
      <w:r w:rsidR="00362BA5" w:rsidRPr="00964C71">
        <w:rPr>
          <w:rFonts w:ascii="Arial" w:hAnsi="Arial" w:cs="Arial"/>
          <w:sz w:val="24"/>
          <w:szCs w:val="24"/>
        </w:rPr>
        <w:t xml:space="preserve"> </w:t>
      </w:r>
      <w:r>
        <w:rPr>
          <w:rFonts w:ascii="Arial" w:hAnsi="Arial" w:cs="Arial"/>
          <w:sz w:val="24"/>
          <w:szCs w:val="24"/>
        </w:rPr>
        <w:t>se</w:t>
      </w:r>
      <w:r w:rsidR="00964C71">
        <w:rPr>
          <w:rFonts w:ascii="Arial" w:hAnsi="Arial" w:cs="Arial"/>
          <w:sz w:val="24"/>
          <w:szCs w:val="24"/>
        </w:rPr>
        <w:t xml:space="preserve"> apoya</w:t>
      </w:r>
      <w:r>
        <w:rPr>
          <w:rFonts w:ascii="Arial" w:hAnsi="Arial" w:cs="Arial"/>
          <w:sz w:val="24"/>
          <w:szCs w:val="24"/>
        </w:rPr>
        <w:t>rá</w:t>
      </w:r>
      <w:r w:rsidR="00964C71">
        <w:rPr>
          <w:rFonts w:ascii="Arial" w:hAnsi="Arial" w:cs="Arial"/>
          <w:sz w:val="24"/>
          <w:szCs w:val="24"/>
        </w:rPr>
        <w:t xml:space="preserve"> de las y los Capacitadores Asistentes Electorales Locales</w:t>
      </w:r>
      <w:r w:rsidR="001D1A5A">
        <w:rPr>
          <w:rFonts w:ascii="Arial" w:hAnsi="Arial" w:cs="Arial"/>
          <w:sz w:val="24"/>
          <w:szCs w:val="24"/>
        </w:rPr>
        <w:t xml:space="preserve">, así como del </w:t>
      </w:r>
      <w:r w:rsidR="001D1A5A" w:rsidRPr="001D1A5A">
        <w:rPr>
          <w:rFonts w:ascii="Arial" w:hAnsi="Arial" w:cs="Arial"/>
          <w:sz w:val="24"/>
          <w:szCs w:val="24"/>
        </w:rPr>
        <w:t>personal administrativo del propio</w:t>
      </w:r>
      <w:r w:rsidR="001D1A5A">
        <w:rPr>
          <w:rFonts w:ascii="Arial" w:hAnsi="Arial" w:cs="Arial"/>
          <w:sz w:val="24"/>
          <w:szCs w:val="24"/>
        </w:rPr>
        <w:t xml:space="preserve"> Consejo</w:t>
      </w:r>
      <w:r w:rsidR="00FA0926">
        <w:rPr>
          <w:rFonts w:ascii="Arial" w:hAnsi="Arial" w:cs="Arial"/>
          <w:sz w:val="24"/>
          <w:szCs w:val="24"/>
        </w:rPr>
        <w:t xml:space="preserve"> </w:t>
      </w:r>
      <w:bookmarkStart w:id="2" w:name="_Hlk71468416"/>
      <w:r>
        <w:rPr>
          <w:rFonts w:ascii="Arial" w:hAnsi="Arial" w:cs="Arial"/>
          <w:sz w:val="24"/>
          <w:szCs w:val="24"/>
        </w:rPr>
        <w:t xml:space="preserve">para el </w:t>
      </w:r>
      <w:r w:rsidRPr="00964C71">
        <w:rPr>
          <w:rFonts w:ascii="Arial" w:hAnsi="Arial" w:cs="Arial"/>
          <w:sz w:val="24"/>
          <w:szCs w:val="24"/>
        </w:rPr>
        <w:t>auxili</w:t>
      </w:r>
      <w:r>
        <w:rPr>
          <w:rFonts w:ascii="Arial" w:hAnsi="Arial" w:cs="Arial"/>
          <w:sz w:val="24"/>
          <w:szCs w:val="24"/>
        </w:rPr>
        <w:t xml:space="preserve">o de </w:t>
      </w:r>
      <w:r w:rsidRPr="00964C71">
        <w:rPr>
          <w:rFonts w:ascii="Arial" w:hAnsi="Arial" w:cs="Arial"/>
          <w:sz w:val="24"/>
          <w:szCs w:val="24"/>
        </w:rPr>
        <w:t>las actividades</w:t>
      </w:r>
      <w:bookmarkEnd w:id="2"/>
      <w:r w:rsidRPr="00964C71">
        <w:rPr>
          <w:rFonts w:ascii="Arial" w:hAnsi="Arial" w:cs="Arial"/>
          <w:sz w:val="24"/>
          <w:szCs w:val="24"/>
        </w:rPr>
        <w:t xml:space="preserve"> mencionadas</w:t>
      </w:r>
      <w:r w:rsidR="001D1A5A">
        <w:rPr>
          <w:rFonts w:ascii="Arial" w:hAnsi="Arial" w:cs="Arial"/>
          <w:sz w:val="24"/>
          <w:szCs w:val="24"/>
        </w:rPr>
        <w:t>,</w:t>
      </w:r>
      <w:r w:rsidRPr="00964C71">
        <w:rPr>
          <w:rFonts w:ascii="Arial" w:hAnsi="Arial" w:cs="Arial"/>
          <w:sz w:val="24"/>
          <w:szCs w:val="24"/>
        </w:rPr>
        <w:t xml:space="preserve"> </w:t>
      </w:r>
      <w:r w:rsidR="001D1A5A">
        <w:rPr>
          <w:rFonts w:ascii="Arial" w:hAnsi="Arial" w:cs="Arial"/>
          <w:sz w:val="24"/>
          <w:szCs w:val="24"/>
        </w:rPr>
        <w:t>a efecto</w:t>
      </w:r>
      <w:r w:rsidRPr="00964C71">
        <w:rPr>
          <w:rFonts w:ascii="Arial" w:hAnsi="Arial" w:cs="Arial"/>
          <w:sz w:val="24"/>
          <w:szCs w:val="24"/>
        </w:rPr>
        <w:t xml:space="preserve"> de cumplir con lo estipulado en el modelo operativo</w:t>
      </w:r>
      <w:r>
        <w:rPr>
          <w:rFonts w:ascii="Arial" w:hAnsi="Arial" w:cs="Arial"/>
          <w:sz w:val="24"/>
          <w:szCs w:val="24"/>
        </w:rPr>
        <w:t xml:space="preserve">, por lo que </w:t>
      </w:r>
      <w:r w:rsidR="009644E9">
        <w:rPr>
          <w:rFonts w:ascii="Arial" w:hAnsi="Arial" w:cs="Arial"/>
          <w:sz w:val="24"/>
          <w:szCs w:val="24"/>
        </w:rPr>
        <w:t xml:space="preserve">se </w:t>
      </w:r>
      <w:r>
        <w:rPr>
          <w:rFonts w:ascii="Arial" w:hAnsi="Arial" w:cs="Arial"/>
          <w:sz w:val="24"/>
          <w:szCs w:val="24"/>
        </w:rPr>
        <w:t>pone</w:t>
      </w:r>
      <w:r w:rsidR="00362BA5" w:rsidRPr="00964C71">
        <w:rPr>
          <w:rFonts w:ascii="Arial" w:hAnsi="Arial" w:cs="Arial"/>
          <w:sz w:val="24"/>
          <w:szCs w:val="24"/>
        </w:rPr>
        <w:t xml:space="preserve"> a consideración del Pleno</w:t>
      </w:r>
      <w:r w:rsidR="00561BFF">
        <w:rPr>
          <w:rFonts w:ascii="Arial" w:hAnsi="Arial" w:cs="Arial"/>
          <w:sz w:val="24"/>
          <w:szCs w:val="24"/>
        </w:rPr>
        <w:t xml:space="preserve"> de este Consejo,</w:t>
      </w:r>
      <w:r w:rsidR="00362BA5" w:rsidRPr="00964C71">
        <w:rPr>
          <w:rFonts w:ascii="Arial" w:hAnsi="Arial" w:cs="Arial"/>
          <w:sz w:val="24"/>
          <w:szCs w:val="24"/>
        </w:rPr>
        <w:t xml:space="preserve"> el</w:t>
      </w:r>
      <w:r w:rsidR="00D61FD5" w:rsidRPr="00964C71">
        <w:rPr>
          <w:rFonts w:ascii="Arial" w:hAnsi="Arial" w:cs="Arial"/>
          <w:sz w:val="24"/>
          <w:szCs w:val="24"/>
        </w:rPr>
        <w:t xml:space="preserve"> listado</w:t>
      </w:r>
      <w:r w:rsidR="002731D2">
        <w:rPr>
          <w:rFonts w:ascii="Arial" w:hAnsi="Arial" w:cs="Arial"/>
          <w:sz w:val="24"/>
          <w:szCs w:val="24"/>
        </w:rPr>
        <w:t xml:space="preserve"> anexo que forma parte integral de este Acuerdo</w:t>
      </w:r>
      <w:r w:rsidR="009644E9">
        <w:rPr>
          <w:rFonts w:ascii="Arial" w:hAnsi="Arial" w:cs="Arial"/>
          <w:sz w:val="24"/>
          <w:szCs w:val="24"/>
        </w:rPr>
        <w:t>.</w:t>
      </w:r>
    </w:p>
    <w:p w14:paraId="05A42B58" w14:textId="4BC8CE66" w:rsidR="009644E9" w:rsidRDefault="009644E9" w:rsidP="009644E9">
      <w:pPr>
        <w:jc w:val="both"/>
        <w:rPr>
          <w:rFonts w:ascii="Arial" w:hAnsi="Arial" w:cs="Arial"/>
          <w:sz w:val="24"/>
          <w:szCs w:val="24"/>
        </w:rPr>
      </w:pPr>
      <w:r>
        <w:rPr>
          <w:rFonts w:ascii="Arial" w:hAnsi="Arial" w:cs="Arial"/>
          <w:sz w:val="24"/>
          <w:szCs w:val="24"/>
        </w:rPr>
        <w:t xml:space="preserve">Por lo anteriormente expuesto y fundado, el Consejo Electoral Municipal de </w:t>
      </w:r>
      <w:r w:rsidR="00666870" w:rsidRPr="00666870">
        <w:rPr>
          <w:rFonts w:ascii="Arial" w:hAnsi="Arial" w:cs="Arial"/>
          <w:sz w:val="24"/>
          <w:szCs w:val="24"/>
        </w:rPr>
        <w:t>Opich</w:t>
      </w:r>
      <w:r w:rsidR="00666870">
        <w:rPr>
          <w:rFonts w:ascii="Arial" w:hAnsi="Arial" w:cs="Arial"/>
          <w:sz w:val="24"/>
          <w:szCs w:val="24"/>
        </w:rPr>
        <w:t>én</w:t>
      </w:r>
      <w:r>
        <w:rPr>
          <w:rFonts w:ascii="Arial" w:hAnsi="Arial" w:cs="Arial"/>
          <w:sz w:val="24"/>
          <w:szCs w:val="24"/>
        </w:rPr>
        <w:t xml:space="preserve"> Yucatán, emite el siguiente:</w:t>
      </w:r>
    </w:p>
    <w:p w14:paraId="061F7B41" w14:textId="77777777" w:rsidR="009644E9" w:rsidRDefault="009644E9" w:rsidP="009644E9">
      <w:pPr>
        <w:jc w:val="center"/>
        <w:rPr>
          <w:rFonts w:ascii="Arial" w:hAnsi="Arial" w:cs="Arial"/>
          <w:b/>
          <w:bCs/>
          <w:sz w:val="24"/>
          <w:szCs w:val="24"/>
        </w:rPr>
      </w:pPr>
      <w:r>
        <w:rPr>
          <w:rFonts w:ascii="Arial" w:hAnsi="Arial" w:cs="Arial"/>
          <w:b/>
          <w:bCs/>
          <w:sz w:val="24"/>
          <w:szCs w:val="24"/>
        </w:rPr>
        <w:t>ACUERDO</w:t>
      </w:r>
    </w:p>
    <w:p w14:paraId="3EEE6569" w14:textId="605D4052" w:rsidR="004D1C96" w:rsidRDefault="009644E9" w:rsidP="009644E9">
      <w:pPr>
        <w:jc w:val="both"/>
        <w:rPr>
          <w:rFonts w:ascii="Arial" w:hAnsi="Arial" w:cs="Arial"/>
          <w:sz w:val="24"/>
          <w:szCs w:val="24"/>
        </w:rPr>
      </w:pPr>
      <w:r>
        <w:rPr>
          <w:rFonts w:ascii="Arial" w:hAnsi="Arial" w:cs="Arial"/>
          <w:b/>
          <w:bCs/>
          <w:sz w:val="24"/>
          <w:szCs w:val="24"/>
        </w:rPr>
        <w:t xml:space="preserve">PRIMERO.- </w:t>
      </w:r>
      <w:r w:rsidRPr="009644E9">
        <w:rPr>
          <w:rFonts w:ascii="Arial" w:hAnsi="Arial" w:cs="Arial"/>
          <w:sz w:val="24"/>
          <w:szCs w:val="24"/>
        </w:rPr>
        <w:t xml:space="preserve">Se aprueba el </w:t>
      </w:r>
      <w:r>
        <w:rPr>
          <w:rFonts w:ascii="Arial" w:hAnsi="Arial" w:cs="Arial"/>
          <w:sz w:val="24"/>
          <w:szCs w:val="24"/>
        </w:rPr>
        <w:t>M</w:t>
      </w:r>
      <w:r w:rsidRPr="009644E9">
        <w:rPr>
          <w:rFonts w:ascii="Arial" w:hAnsi="Arial" w:cs="Arial"/>
          <w:sz w:val="24"/>
          <w:szCs w:val="24"/>
        </w:rPr>
        <w:t xml:space="preserve">odelo </w:t>
      </w:r>
      <w:r>
        <w:rPr>
          <w:rFonts w:ascii="Arial" w:hAnsi="Arial" w:cs="Arial"/>
          <w:sz w:val="24"/>
          <w:szCs w:val="24"/>
        </w:rPr>
        <w:t>O</w:t>
      </w:r>
      <w:r w:rsidRPr="009644E9">
        <w:rPr>
          <w:rFonts w:ascii="Arial" w:hAnsi="Arial" w:cs="Arial"/>
          <w:sz w:val="24"/>
          <w:szCs w:val="24"/>
        </w:rPr>
        <w:t xml:space="preserve">perativo de </w:t>
      </w:r>
      <w:r>
        <w:rPr>
          <w:rFonts w:ascii="Arial" w:hAnsi="Arial" w:cs="Arial"/>
          <w:sz w:val="24"/>
          <w:szCs w:val="24"/>
        </w:rPr>
        <w:t>R</w:t>
      </w:r>
      <w:r w:rsidRPr="009644E9">
        <w:rPr>
          <w:rFonts w:ascii="Arial" w:hAnsi="Arial" w:cs="Arial"/>
          <w:sz w:val="24"/>
          <w:szCs w:val="24"/>
        </w:rPr>
        <w:t>ecepción de los paquetes electorales al término de la jornada</w:t>
      </w:r>
      <w:r w:rsidR="004D1C96">
        <w:rPr>
          <w:rFonts w:ascii="Arial" w:hAnsi="Arial" w:cs="Arial"/>
          <w:sz w:val="24"/>
          <w:szCs w:val="24"/>
        </w:rPr>
        <w:t xml:space="preserve"> </w:t>
      </w:r>
      <w:r w:rsidR="004D1C96" w:rsidRPr="009644E9">
        <w:rPr>
          <w:rFonts w:ascii="Arial" w:hAnsi="Arial" w:cs="Arial"/>
          <w:sz w:val="24"/>
          <w:szCs w:val="24"/>
        </w:rPr>
        <w:t>para el Proceso Electoral Local 2020-2021</w:t>
      </w:r>
      <w:r w:rsidR="004D1C96">
        <w:rPr>
          <w:rFonts w:ascii="Arial" w:hAnsi="Arial" w:cs="Arial"/>
          <w:sz w:val="24"/>
          <w:szCs w:val="24"/>
        </w:rPr>
        <w:t>, anexándolo al presente acuerdo, como parte integral del mismo.</w:t>
      </w:r>
    </w:p>
    <w:p w14:paraId="28A6C3B3" w14:textId="1FF19DCB" w:rsidR="009644E9" w:rsidRDefault="004D1C96" w:rsidP="009644E9">
      <w:pPr>
        <w:jc w:val="both"/>
        <w:rPr>
          <w:rFonts w:ascii="Arial" w:hAnsi="Arial" w:cs="Arial"/>
          <w:b/>
          <w:bCs/>
        </w:rPr>
      </w:pPr>
      <w:r w:rsidRPr="004D1C96">
        <w:rPr>
          <w:rFonts w:ascii="Arial" w:hAnsi="Arial" w:cs="Arial"/>
          <w:b/>
          <w:bCs/>
          <w:sz w:val="24"/>
          <w:szCs w:val="24"/>
        </w:rPr>
        <w:t>SEGUNDO.</w:t>
      </w:r>
      <w:r>
        <w:rPr>
          <w:rFonts w:ascii="Arial" w:hAnsi="Arial" w:cs="Arial"/>
          <w:sz w:val="24"/>
          <w:szCs w:val="24"/>
        </w:rPr>
        <w:t xml:space="preserve"> Se aprueba la designación</w:t>
      </w:r>
      <w:r w:rsidR="009644E9" w:rsidRPr="009644E9">
        <w:rPr>
          <w:rFonts w:ascii="Arial" w:hAnsi="Arial" w:cs="Arial"/>
          <w:sz w:val="24"/>
          <w:szCs w:val="24"/>
        </w:rPr>
        <w:t xml:space="preserve"> de un número suficiente de </w:t>
      </w:r>
      <w:r w:rsidR="00763F63">
        <w:rPr>
          <w:rFonts w:ascii="Arial" w:hAnsi="Arial" w:cs="Arial"/>
          <w:sz w:val="24"/>
          <w:szCs w:val="24"/>
        </w:rPr>
        <w:t>Capacitadores Asistentes Electorales Locales</w:t>
      </w:r>
      <w:r w:rsidR="001D1A5A">
        <w:rPr>
          <w:rFonts w:ascii="Arial" w:hAnsi="Arial" w:cs="Arial"/>
          <w:sz w:val="24"/>
          <w:szCs w:val="24"/>
        </w:rPr>
        <w:t>,</w:t>
      </w:r>
      <w:r w:rsidR="00763F63" w:rsidRPr="009644E9">
        <w:rPr>
          <w:rFonts w:ascii="Arial" w:hAnsi="Arial" w:cs="Arial"/>
          <w:sz w:val="24"/>
          <w:szCs w:val="24"/>
        </w:rPr>
        <w:t xml:space="preserve"> </w:t>
      </w:r>
      <w:r w:rsidR="001D1A5A">
        <w:rPr>
          <w:rFonts w:ascii="Arial" w:hAnsi="Arial" w:cs="Arial"/>
          <w:sz w:val="24"/>
          <w:szCs w:val="24"/>
        </w:rPr>
        <w:t xml:space="preserve">así como del </w:t>
      </w:r>
      <w:r w:rsidR="001D1A5A" w:rsidRPr="001D1A5A">
        <w:rPr>
          <w:rFonts w:ascii="Arial" w:hAnsi="Arial" w:cs="Arial"/>
          <w:sz w:val="24"/>
          <w:szCs w:val="24"/>
        </w:rPr>
        <w:t>personal administrativo del propio</w:t>
      </w:r>
      <w:r w:rsidR="001D1A5A">
        <w:rPr>
          <w:rFonts w:ascii="Arial" w:hAnsi="Arial" w:cs="Arial"/>
          <w:sz w:val="24"/>
          <w:szCs w:val="24"/>
        </w:rPr>
        <w:t xml:space="preserve"> </w:t>
      </w:r>
      <w:r w:rsidR="001D1A5A">
        <w:rPr>
          <w:rFonts w:ascii="Arial" w:hAnsi="Arial" w:cs="Arial"/>
          <w:sz w:val="24"/>
          <w:szCs w:val="24"/>
        </w:rPr>
        <w:lastRenderedPageBreak/>
        <w:t xml:space="preserve">Consejo </w:t>
      </w:r>
      <w:r w:rsidR="00763F63">
        <w:rPr>
          <w:rFonts w:ascii="Arial" w:hAnsi="Arial" w:cs="Arial"/>
          <w:sz w:val="24"/>
          <w:szCs w:val="24"/>
        </w:rPr>
        <w:t>qu</w:t>
      </w:r>
      <w:r>
        <w:rPr>
          <w:rFonts w:ascii="Arial" w:hAnsi="Arial" w:cs="Arial"/>
          <w:sz w:val="24"/>
          <w:szCs w:val="24"/>
        </w:rPr>
        <w:t xml:space="preserve">e, </w:t>
      </w:r>
      <w:r w:rsidR="00763F63">
        <w:rPr>
          <w:rFonts w:ascii="Arial" w:hAnsi="Arial" w:cs="Arial"/>
          <w:sz w:val="24"/>
          <w:szCs w:val="24"/>
        </w:rPr>
        <w:t xml:space="preserve">entre otras funciones, </w:t>
      </w:r>
      <w:r>
        <w:rPr>
          <w:rFonts w:ascii="Arial" w:hAnsi="Arial" w:cs="Arial"/>
          <w:sz w:val="24"/>
          <w:szCs w:val="24"/>
        </w:rPr>
        <w:t xml:space="preserve">serán </w:t>
      </w:r>
      <w:r w:rsidR="009644E9" w:rsidRPr="009644E9">
        <w:rPr>
          <w:rFonts w:ascii="Arial" w:hAnsi="Arial" w:cs="Arial"/>
          <w:sz w:val="24"/>
          <w:szCs w:val="24"/>
        </w:rPr>
        <w:t>auxili</w:t>
      </w:r>
      <w:r>
        <w:rPr>
          <w:rFonts w:ascii="Arial" w:hAnsi="Arial" w:cs="Arial"/>
          <w:sz w:val="24"/>
          <w:szCs w:val="24"/>
        </w:rPr>
        <w:t>ares</w:t>
      </w:r>
      <w:r w:rsidR="009644E9" w:rsidRPr="009644E9">
        <w:rPr>
          <w:rFonts w:ascii="Arial" w:hAnsi="Arial" w:cs="Arial"/>
          <w:sz w:val="24"/>
          <w:szCs w:val="24"/>
        </w:rPr>
        <w:t xml:space="preserve"> de recepción, traslado</w:t>
      </w:r>
      <w:r w:rsidR="001D1A5A">
        <w:rPr>
          <w:rFonts w:ascii="Arial" w:hAnsi="Arial" w:cs="Arial"/>
          <w:sz w:val="24"/>
          <w:szCs w:val="24"/>
        </w:rPr>
        <w:t>,</w:t>
      </w:r>
      <w:r w:rsidR="009644E9" w:rsidRPr="009644E9">
        <w:rPr>
          <w:rFonts w:ascii="Arial" w:hAnsi="Arial" w:cs="Arial"/>
          <w:sz w:val="24"/>
          <w:szCs w:val="24"/>
        </w:rPr>
        <w:t xml:space="preserve"> generales</w:t>
      </w:r>
      <w:r w:rsidR="001D1A5A">
        <w:rPr>
          <w:rFonts w:ascii="Arial" w:hAnsi="Arial" w:cs="Arial"/>
          <w:sz w:val="24"/>
          <w:szCs w:val="24"/>
        </w:rPr>
        <w:t xml:space="preserve"> y de orientación</w:t>
      </w:r>
      <w:r w:rsidR="009644E9" w:rsidRPr="009644E9">
        <w:rPr>
          <w:rFonts w:ascii="Arial" w:hAnsi="Arial" w:cs="Arial"/>
          <w:sz w:val="24"/>
          <w:szCs w:val="24"/>
        </w:rPr>
        <w:t xml:space="preserve"> para la implementación del procedimiento </w:t>
      </w:r>
      <w:r w:rsidRPr="009644E9">
        <w:rPr>
          <w:rFonts w:ascii="Arial" w:hAnsi="Arial" w:cs="Arial"/>
          <w:sz w:val="24"/>
          <w:szCs w:val="24"/>
        </w:rPr>
        <w:t xml:space="preserve">de </w:t>
      </w:r>
      <w:r>
        <w:rPr>
          <w:rFonts w:ascii="Arial" w:hAnsi="Arial" w:cs="Arial"/>
          <w:sz w:val="24"/>
          <w:szCs w:val="24"/>
        </w:rPr>
        <w:t>r</w:t>
      </w:r>
      <w:r w:rsidRPr="009644E9">
        <w:rPr>
          <w:rFonts w:ascii="Arial" w:hAnsi="Arial" w:cs="Arial"/>
          <w:sz w:val="24"/>
          <w:szCs w:val="24"/>
        </w:rPr>
        <w:t xml:space="preserve">ecepción de los paquetes electorales al término de la jornada, </w:t>
      </w:r>
      <w:r w:rsidR="009644E9" w:rsidRPr="009644E9">
        <w:rPr>
          <w:rFonts w:ascii="Arial" w:hAnsi="Arial" w:cs="Arial"/>
          <w:sz w:val="24"/>
          <w:szCs w:val="24"/>
        </w:rPr>
        <w:t>para el Proceso Electoral Local 2020-2021</w:t>
      </w:r>
      <w:r>
        <w:rPr>
          <w:rFonts w:ascii="Arial" w:hAnsi="Arial" w:cs="Arial"/>
          <w:sz w:val="24"/>
          <w:szCs w:val="24"/>
        </w:rPr>
        <w:t xml:space="preserve">. Se anexa al presente acuerdo, el listado correspondiente </w:t>
      </w:r>
      <w:r w:rsidR="00AD198D">
        <w:rPr>
          <w:rFonts w:ascii="Arial" w:hAnsi="Arial" w:cs="Arial"/>
          <w:sz w:val="24"/>
          <w:szCs w:val="24"/>
        </w:rPr>
        <w:t>formando parte integral del mismo.</w:t>
      </w:r>
    </w:p>
    <w:p w14:paraId="60E1B384" w14:textId="3CD2C6E9" w:rsidR="009644E9" w:rsidRDefault="004D1C96" w:rsidP="009644E9">
      <w:pPr>
        <w:jc w:val="both"/>
        <w:rPr>
          <w:rFonts w:ascii="Arial" w:hAnsi="Arial" w:cs="Arial"/>
          <w:sz w:val="24"/>
          <w:szCs w:val="24"/>
        </w:rPr>
      </w:pPr>
      <w:r>
        <w:rPr>
          <w:rFonts w:ascii="Arial" w:hAnsi="Arial" w:cs="Arial"/>
          <w:b/>
          <w:bCs/>
          <w:sz w:val="24"/>
          <w:szCs w:val="24"/>
        </w:rPr>
        <w:t>TERCERO</w:t>
      </w:r>
      <w:r w:rsidR="009644E9" w:rsidRPr="009644E9">
        <w:rPr>
          <w:rFonts w:ascii="Arial" w:hAnsi="Arial" w:cs="Arial"/>
          <w:b/>
          <w:bCs/>
          <w:sz w:val="24"/>
          <w:szCs w:val="24"/>
        </w:rPr>
        <w:t>.-</w:t>
      </w:r>
      <w:r w:rsidR="009644E9">
        <w:rPr>
          <w:rFonts w:ascii="Arial" w:hAnsi="Arial" w:cs="Arial"/>
          <w:sz w:val="24"/>
          <w:szCs w:val="24"/>
        </w:rPr>
        <w:t xml:space="preserve"> Remítase copia del presente Acuerdo al Consejo General del IEPAC, en términos de lo dispuesto en la fracción </w:t>
      </w:r>
      <w:r w:rsidR="00AD198D">
        <w:rPr>
          <w:rFonts w:ascii="Arial" w:hAnsi="Arial" w:cs="Arial"/>
          <w:sz w:val="24"/>
          <w:szCs w:val="24"/>
        </w:rPr>
        <w:t>XV</w:t>
      </w:r>
      <w:r w:rsidR="009644E9">
        <w:rPr>
          <w:rFonts w:ascii="Arial" w:hAnsi="Arial" w:cs="Arial"/>
          <w:sz w:val="24"/>
          <w:szCs w:val="24"/>
        </w:rPr>
        <w:t xml:space="preserve"> del artículo </w:t>
      </w:r>
      <w:r w:rsidR="00AD198D">
        <w:rPr>
          <w:rFonts w:ascii="Arial" w:hAnsi="Arial" w:cs="Arial"/>
          <w:sz w:val="24"/>
          <w:szCs w:val="24"/>
        </w:rPr>
        <w:t>168</w:t>
      </w:r>
      <w:r w:rsidR="009644E9">
        <w:rPr>
          <w:rFonts w:ascii="Arial" w:hAnsi="Arial" w:cs="Arial"/>
          <w:sz w:val="24"/>
          <w:szCs w:val="24"/>
        </w:rPr>
        <w:t xml:space="preserve"> de la LIPEEY, para su debido conocimiento.</w:t>
      </w:r>
    </w:p>
    <w:p w14:paraId="17468CDE" w14:textId="6696CCA3" w:rsidR="009644E9" w:rsidRDefault="004D1C96" w:rsidP="009644E9">
      <w:pPr>
        <w:jc w:val="both"/>
        <w:rPr>
          <w:rFonts w:ascii="Arial" w:hAnsi="Arial" w:cs="Arial"/>
          <w:sz w:val="24"/>
          <w:szCs w:val="24"/>
        </w:rPr>
      </w:pPr>
      <w:r>
        <w:rPr>
          <w:rFonts w:ascii="Arial" w:hAnsi="Arial" w:cs="Arial"/>
          <w:b/>
          <w:bCs/>
          <w:sz w:val="24"/>
          <w:szCs w:val="24"/>
        </w:rPr>
        <w:t>CUARTO</w:t>
      </w:r>
      <w:r w:rsidR="009644E9" w:rsidRPr="009644E9">
        <w:rPr>
          <w:rFonts w:ascii="Arial" w:hAnsi="Arial" w:cs="Arial"/>
          <w:b/>
          <w:bCs/>
          <w:sz w:val="24"/>
          <w:szCs w:val="24"/>
        </w:rPr>
        <w:t>.-</w:t>
      </w:r>
      <w:r w:rsidR="009644E9">
        <w:rPr>
          <w:rFonts w:ascii="Arial" w:hAnsi="Arial" w:cs="Arial"/>
          <w:sz w:val="24"/>
          <w:szCs w:val="24"/>
        </w:rPr>
        <w:t xml:space="preserve"> Notifíquese el presente Acuerdo mediante estrados de este Consejo Municipal para los fines legales correspondientes.</w:t>
      </w:r>
    </w:p>
    <w:p w14:paraId="5D49DA3E" w14:textId="60C5FFA3" w:rsidR="009644E9" w:rsidRDefault="009644E9" w:rsidP="009644E9">
      <w:pPr>
        <w:jc w:val="both"/>
        <w:rPr>
          <w:rFonts w:ascii="Arial" w:hAnsi="Arial" w:cs="Arial"/>
          <w:sz w:val="24"/>
          <w:szCs w:val="24"/>
        </w:rPr>
      </w:pPr>
      <w:r>
        <w:rPr>
          <w:rFonts w:ascii="Arial" w:hAnsi="Arial" w:cs="Arial"/>
          <w:sz w:val="24"/>
          <w:szCs w:val="24"/>
        </w:rPr>
        <w:t xml:space="preserve">Este acuerdo fue aprobado en sesión </w:t>
      </w:r>
      <w:r w:rsidR="00AD198D">
        <w:rPr>
          <w:rFonts w:ascii="Arial" w:hAnsi="Arial" w:cs="Arial"/>
          <w:sz w:val="24"/>
          <w:szCs w:val="24"/>
        </w:rPr>
        <w:t>ordinaria</w:t>
      </w:r>
      <w:r>
        <w:rPr>
          <w:rFonts w:ascii="Arial" w:hAnsi="Arial" w:cs="Arial"/>
          <w:sz w:val="24"/>
          <w:szCs w:val="24"/>
        </w:rPr>
        <w:t xml:space="preserve"> del</w:t>
      </w:r>
      <w:r w:rsidR="00666870">
        <w:rPr>
          <w:rFonts w:ascii="Arial" w:hAnsi="Arial" w:cs="Arial"/>
          <w:sz w:val="24"/>
          <w:szCs w:val="24"/>
        </w:rPr>
        <w:t xml:space="preserve"> Consejo Electoral Municipal de Opichén</w:t>
      </w:r>
      <w:r>
        <w:rPr>
          <w:rFonts w:ascii="Arial" w:hAnsi="Arial" w:cs="Arial"/>
          <w:sz w:val="24"/>
          <w:szCs w:val="24"/>
        </w:rPr>
        <w:t xml:space="preserve">, Yucatán, celebrada el día </w:t>
      </w:r>
      <w:r w:rsidR="00666870" w:rsidRPr="00666870">
        <w:rPr>
          <w:rFonts w:ascii="Arial" w:hAnsi="Arial" w:cs="Arial"/>
          <w:sz w:val="24"/>
          <w:szCs w:val="24"/>
        </w:rPr>
        <w:t>doce</w:t>
      </w:r>
      <w:r w:rsidRPr="00666870">
        <w:rPr>
          <w:rFonts w:ascii="Arial" w:hAnsi="Arial" w:cs="Arial"/>
          <w:sz w:val="24"/>
          <w:szCs w:val="24"/>
        </w:rPr>
        <w:t xml:space="preserve"> de </w:t>
      </w:r>
      <w:r w:rsidR="00666870" w:rsidRPr="00666870">
        <w:rPr>
          <w:rFonts w:ascii="Arial" w:hAnsi="Arial" w:cs="Arial"/>
          <w:sz w:val="24"/>
          <w:szCs w:val="24"/>
        </w:rPr>
        <w:t xml:space="preserve">mayo </w:t>
      </w:r>
      <w:r w:rsidRPr="00666870">
        <w:rPr>
          <w:rFonts w:ascii="Arial" w:hAnsi="Arial" w:cs="Arial"/>
          <w:sz w:val="24"/>
          <w:szCs w:val="24"/>
        </w:rPr>
        <w:t xml:space="preserve"> de dos mil veintiuno, por </w:t>
      </w:r>
      <w:r w:rsidR="00666870" w:rsidRPr="00666870">
        <w:rPr>
          <w:rFonts w:ascii="Arial" w:hAnsi="Arial" w:cs="Arial"/>
          <w:sz w:val="24"/>
          <w:szCs w:val="24"/>
        </w:rPr>
        <w:t>unanimidad</w:t>
      </w:r>
      <w:r w:rsidRPr="00666870">
        <w:rPr>
          <w:rFonts w:ascii="Arial" w:hAnsi="Arial" w:cs="Arial"/>
          <w:sz w:val="24"/>
          <w:szCs w:val="24"/>
        </w:rPr>
        <w:t xml:space="preserve"> votos de los C.C. Consejeras y Consejeros Electorales </w:t>
      </w:r>
      <w:r w:rsidR="00666870" w:rsidRPr="00666870">
        <w:rPr>
          <w:rFonts w:ascii="Arial" w:hAnsi="Arial" w:cs="Arial"/>
          <w:sz w:val="24"/>
          <w:szCs w:val="24"/>
        </w:rPr>
        <w:t>del Consejo Municipal de Opichén.</w:t>
      </w:r>
    </w:p>
    <w:p w14:paraId="76ACA611" w14:textId="77777777" w:rsidR="00AD198D" w:rsidRDefault="00AD198D" w:rsidP="009644E9">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644E9" w14:paraId="4B3BA905" w14:textId="77777777" w:rsidTr="009644E9">
        <w:tc>
          <w:tcPr>
            <w:tcW w:w="4414" w:type="dxa"/>
          </w:tcPr>
          <w:p w14:paraId="75465D2E" w14:textId="77777777" w:rsidR="009644E9" w:rsidRDefault="009644E9">
            <w:pPr>
              <w:spacing w:after="0"/>
              <w:jc w:val="both"/>
              <w:rPr>
                <w:rFonts w:ascii="Arial" w:hAnsi="Arial" w:cs="Arial"/>
                <w:sz w:val="24"/>
                <w:szCs w:val="24"/>
              </w:rPr>
            </w:pPr>
          </w:p>
        </w:tc>
        <w:tc>
          <w:tcPr>
            <w:tcW w:w="4414" w:type="dxa"/>
          </w:tcPr>
          <w:p w14:paraId="277193B1" w14:textId="77777777" w:rsidR="009644E9" w:rsidRDefault="009644E9">
            <w:pPr>
              <w:spacing w:after="0"/>
              <w:jc w:val="both"/>
              <w:rPr>
                <w:rFonts w:ascii="Arial" w:hAnsi="Arial" w:cs="Arial"/>
                <w:sz w:val="24"/>
                <w:szCs w:val="24"/>
              </w:rPr>
            </w:pPr>
          </w:p>
        </w:tc>
      </w:tr>
      <w:tr w:rsidR="009644E9" w:rsidRPr="00666870" w14:paraId="37D4B0F2" w14:textId="77777777" w:rsidTr="009644E9">
        <w:trPr>
          <w:trHeight w:val="637"/>
        </w:trPr>
        <w:tc>
          <w:tcPr>
            <w:tcW w:w="4414" w:type="dxa"/>
            <w:hideMark/>
          </w:tcPr>
          <w:p w14:paraId="4ACFF5BD" w14:textId="6982D0C4" w:rsidR="009644E9" w:rsidRPr="00666870" w:rsidRDefault="00666870">
            <w:pPr>
              <w:spacing w:after="0"/>
              <w:jc w:val="center"/>
              <w:rPr>
                <w:rFonts w:ascii="Arial" w:hAnsi="Arial" w:cs="Arial"/>
                <w:b/>
                <w:bCs/>
                <w:sz w:val="24"/>
                <w:szCs w:val="24"/>
              </w:rPr>
            </w:pPr>
            <w:r w:rsidRPr="00666870">
              <w:rPr>
                <w:rFonts w:ascii="Arial" w:hAnsi="Arial" w:cs="Arial"/>
                <w:b/>
                <w:bCs/>
                <w:sz w:val="24"/>
                <w:szCs w:val="24"/>
              </w:rPr>
              <w:t>JOEL ABISAI CALAN RAMOS</w:t>
            </w:r>
          </w:p>
          <w:p w14:paraId="27133418" w14:textId="41B4D1DE" w:rsidR="009644E9" w:rsidRPr="00666870" w:rsidRDefault="00666870">
            <w:pPr>
              <w:spacing w:after="0"/>
              <w:jc w:val="center"/>
              <w:rPr>
                <w:rFonts w:ascii="Arial" w:hAnsi="Arial" w:cs="Arial"/>
                <w:b/>
                <w:bCs/>
                <w:sz w:val="24"/>
                <w:szCs w:val="24"/>
              </w:rPr>
            </w:pPr>
            <w:r w:rsidRPr="00666870">
              <w:rPr>
                <w:rFonts w:ascii="Arial" w:hAnsi="Arial" w:cs="Arial"/>
                <w:b/>
                <w:bCs/>
                <w:sz w:val="24"/>
                <w:szCs w:val="24"/>
              </w:rPr>
              <w:t>Consejer</w:t>
            </w:r>
            <w:r w:rsidR="009644E9" w:rsidRPr="00666870">
              <w:rPr>
                <w:rFonts w:ascii="Arial" w:hAnsi="Arial" w:cs="Arial"/>
                <w:b/>
                <w:bCs/>
                <w:sz w:val="24"/>
                <w:szCs w:val="24"/>
              </w:rPr>
              <w:t>o Presidente</w:t>
            </w:r>
          </w:p>
        </w:tc>
        <w:tc>
          <w:tcPr>
            <w:tcW w:w="4414" w:type="dxa"/>
            <w:hideMark/>
          </w:tcPr>
          <w:p w14:paraId="26C24DCB" w14:textId="5AF50796" w:rsidR="009644E9" w:rsidRPr="00666870" w:rsidRDefault="00666870" w:rsidP="00666870">
            <w:pPr>
              <w:spacing w:after="0"/>
              <w:jc w:val="center"/>
              <w:rPr>
                <w:rFonts w:ascii="Arial" w:hAnsi="Arial" w:cs="Arial"/>
                <w:b/>
                <w:bCs/>
                <w:sz w:val="24"/>
                <w:szCs w:val="24"/>
              </w:rPr>
            </w:pPr>
            <w:r w:rsidRPr="00666870">
              <w:rPr>
                <w:rFonts w:ascii="Arial" w:hAnsi="Arial" w:cs="Arial"/>
                <w:b/>
                <w:bCs/>
                <w:sz w:val="24"/>
                <w:szCs w:val="24"/>
              </w:rPr>
              <w:t>LUIS ALEJANDRO CAAMAL ORDOÑES</w:t>
            </w:r>
          </w:p>
          <w:p w14:paraId="072F2CC2" w14:textId="3A412AC6" w:rsidR="009644E9" w:rsidRPr="00666870" w:rsidRDefault="00666870">
            <w:pPr>
              <w:spacing w:after="0"/>
              <w:jc w:val="center"/>
              <w:rPr>
                <w:rFonts w:ascii="Arial" w:hAnsi="Arial" w:cs="Arial"/>
                <w:b/>
                <w:bCs/>
                <w:sz w:val="24"/>
                <w:szCs w:val="24"/>
              </w:rPr>
            </w:pPr>
            <w:r w:rsidRPr="00666870">
              <w:rPr>
                <w:rFonts w:ascii="Arial" w:hAnsi="Arial" w:cs="Arial"/>
                <w:b/>
                <w:bCs/>
                <w:sz w:val="24"/>
                <w:szCs w:val="24"/>
              </w:rPr>
              <w:t>Secretario Ejecutiv</w:t>
            </w:r>
            <w:r w:rsidR="009644E9" w:rsidRPr="00666870">
              <w:rPr>
                <w:rFonts w:ascii="Arial" w:hAnsi="Arial" w:cs="Arial"/>
                <w:b/>
                <w:bCs/>
                <w:sz w:val="24"/>
                <w:szCs w:val="24"/>
              </w:rPr>
              <w:t>o</w:t>
            </w:r>
          </w:p>
        </w:tc>
      </w:tr>
      <w:bookmarkEnd w:id="0"/>
    </w:tbl>
    <w:p w14:paraId="0C9D59DE" w14:textId="2128C069" w:rsidR="009F1716" w:rsidRDefault="009F1716" w:rsidP="00753BCA">
      <w:pPr>
        <w:jc w:val="both"/>
        <w:rPr>
          <w:rFonts w:ascii="Arial" w:hAnsi="Arial" w:cs="Arial"/>
        </w:rPr>
      </w:pPr>
    </w:p>
    <w:p w14:paraId="336A33D1" w14:textId="77777777" w:rsidR="00647AE3" w:rsidRPr="00362BA5" w:rsidRDefault="00647AE3" w:rsidP="00753BCA">
      <w:pPr>
        <w:jc w:val="both"/>
        <w:rPr>
          <w:rFonts w:ascii="Arial" w:hAnsi="Arial" w:cs="Arial"/>
        </w:rPr>
      </w:pPr>
    </w:p>
    <w:sectPr w:rsidR="00647AE3" w:rsidRPr="00362BA5" w:rsidSect="00C325DB">
      <w:headerReference w:type="default" r:id="rId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1EA0" w14:textId="77777777" w:rsidR="00791694" w:rsidRDefault="00791694" w:rsidP="00C325DB">
      <w:pPr>
        <w:spacing w:after="0" w:line="240" w:lineRule="auto"/>
      </w:pPr>
      <w:r>
        <w:separator/>
      </w:r>
    </w:p>
  </w:endnote>
  <w:endnote w:type="continuationSeparator" w:id="0">
    <w:p w14:paraId="57E0AF21" w14:textId="77777777" w:rsidR="00791694" w:rsidRDefault="00791694" w:rsidP="00C3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A52A" w14:textId="77777777" w:rsidR="00791694" w:rsidRDefault="00791694" w:rsidP="00C325DB">
      <w:pPr>
        <w:spacing w:after="0" w:line="240" w:lineRule="auto"/>
      </w:pPr>
      <w:r>
        <w:separator/>
      </w:r>
    </w:p>
  </w:footnote>
  <w:footnote w:type="continuationSeparator" w:id="0">
    <w:p w14:paraId="2C099B2C" w14:textId="77777777" w:rsidR="00791694" w:rsidRDefault="00791694" w:rsidP="00C3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F50E" w14:textId="77777777" w:rsidR="00362BA5" w:rsidRDefault="00362BA5" w:rsidP="00362BA5">
    <w:pPr>
      <w:pStyle w:val="Encabezado"/>
      <w:jc w:val="right"/>
    </w:pPr>
  </w:p>
  <w:p w14:paraId="2134D26A" w14:textId="7F4305EA" w:rsidR="00362BA5" w:rsidRPr="00362BA5" w:rsidRDefault="00362BA5" w:rsidP="00362BA5">
    <w:pPr>
      <w:pStyle w:val="Encabezado"/>
      <w:jc w:val="right"/>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D2C17"/>
    <w:multiLevelType w:val="hybridMultilevel"/>
    <w:tmpl w:val="72C0BB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1B5C05"/>
    <w:multiLevelType w:val="hybridMultilevel"/>
    <w:tmpl w:val="F56008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E338C4"/>
    <w:multiLevelType w:val="hybridMultilevel"/>
    <w:tmpl w:val="F56008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035EAD"/>
    <w:multiLevelType w:val="hybridMultilevel"/>
    <w:tmpl w:val="55227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56"/>
    <w:rsid w:val="00043537"/>
    <w:rsid w:val="00064BC9"/>
    <w:rsid w:val="00067960"/>
    <w:rsid w:val="000B0518"/>
    <w:rsid w:val="000B0887"/>
    <w:rsid w:val="000B6960"/>
    <w:rsid w:val="000C0646"/>
    <w:rsid w:val="000E63F6"/>
    <w:rsid w:val="000F1E20"/>
    <w:rsid w:val="000F4F9A"/>
    <w:rsid w:val="00107176"/>
    <w:rsid w:val="00113358"/>
    <w:rsid w:val="001D1A5A"/>
    <w:rsid w:val="001E6F0B"/>
    <w:rsid w:val="002731D2"/>
    <w:rsid w:val="00292705"/>
    <w:rsid w:val="002E4CB0"/>
    <w:rsid w:val="00332C4A"/>
    <w:rsid w:val="00362BA5"/>
    <w:rsid w:val="00370FB9"/>
    <w:rsid w:val="00383FC9"/>
    <w:rsid w:val="00401662"/>
    <w:rsid w:val="00427782"/>
    <w:rsid w:val="0044310E"/>
    <w:rsid w:val="00477E17"/>
    <w:rsid w:val="00490077"/>
    <w:rsid w:val="004D1C96"/>
    <w:rsid w:val="004D2613"/>
    <w:rsid w:val="004D740A"/>
    <w:rsid w:val="00561BFF"/>
    <w:rsid w:val="005C3047"/>
    <w:rsid w:val="00604DCC"/>
    <w:rsid w:val="00621FD1"/>
    <w:rsid w:val="00627027"/>
    <w:rsid w:val="00642BF9"/>
    <w:rsid w:val="00647AE3"/>
    <w:rsid w:val="00666870"/>
    <w:rsid w:val="006B1112"/>
    <w:rsid w:val="006C1D3B"/>
    <w:rsid w:val="006D4AF8"/>
    <w:rsid w:val="006D4EBB"/>
    <w:rsid w:val="006F0C0D"/>
    <w:rsid w:val="006F6CC3"/>
    <w:rsid w:val="00703A11"/>
    <w:rsid w:val="0071780F"/>
    <w:rsid w:val="00745B42"/>
    <w:rsid w:val="00753BCA"/>
    <w:rsid w:val="00763F63"/>
    <w:rsid w:val="007760F6"/>
    <w:rsid w:val="00791694"/>
    <w:rsid w:val="008063DA"/>
    <w:rsid w:val="008113FC"/>
    <w:rsid w:val="008173D9"/>
    <w:rsid w:val="00845B41"/>
    <w:rsid w:val="008918C4"/>
    <w:rsid w:val="008E3456"/>
    <w:rsid w:val="00916A45"/>
    <w:rsid w:val="00931189"/>
    <w:rsid w:val="009644E9"/>
    <w:rsid w:val="00964C71"/>
    <w:rsid w:val="009D2E44"/>
    <w:rsid w:val="009E2439"/>
    <w:rsid w:val="009F1716"/>
    <w:rsid w:val="00A03B23"/>
    <w:rsid w:val="00A375DB"/>
    <w:rsid w:val="00A651DC"/>
    <w:rsid w:val="00A75BD7"/>
    <w:rsid w:val="00A97FA9"/>
    <w:rsid w:val="00AA7D61"/>
    <w:rsid w:val="00AB7C80"/>
    <w:rsid w:val="00AD198D"/>
    <w:rsid w:val="00B4406F"/>
    <w:rsid w:val="00B7008B"/>
    <w:rsid w:val="00B87005"/>
    <w:rsid w:val="00BA142A"/>
    <w:rsid w:val="00BD3780"/>
    <w:rsid w:val="00BD7EFE"/>
    <w:rsid w:val="00C325DB"/>
    <w:rsid w:val="00C451E3"/>
    <w:rsid w:val="00C47EB5"/>
    <w:rsid w:val="00C90991"/>
    <w:rsid w:val="00CC212D"/>
    <w:rsid w:val="00CD7A89"/>
    <w:rsid w:val="00CF6F0A"/>
    <w:rsid w:val="00D30485"/>
    <w:rsid w:val="00D55086"/>
    <w:rsid w:val="00D61FD5"/>
    <w:rsid w:val="00DA1D3E"/>
    <w:rsid w:val="00DC4D42"/>
    <w:rsid w:val="00DE0E62"/>
    <w:rsid w:val="00DE1245"/>
    <w:rsid w:val="00DE63E7"/>
    <w:rsid w:val="00E21BE5"/>
    <w:rsid w:val="00E57601"/>
    <w:rsid w:val="00E80462"/>
    <w:rsid w:val="00EA72D4"/>
    <w:rsid w:val="00EE4ECF"/>
    <w:rsid w:val="00F43F5B"/>
    <w:rsid w:val="00F60DAB"/>
    <w:rsid w:val="00F92459"/>
    <w:rsid w:val="00FA0926"/>
    <w:rsid w:val="00FA1F24"/>
    <w:rsid w:val="00FC4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C195E"/>
  <w15:chartTrackingRefBased/>
  <w15:docId w15:val="{43785FBD-3DE8-4875-B2CB-DE7C494F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5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5DB"/>
  </w:style>
  <w:style w:type="paragraph" w:styleId="Piedepgina">
    <w:name w:val="footer"/>
    <w:basedOn w:val="Normal"/>
    <w:link w:val="PiedepginaCar"/>
    <w:uiPriority w:val="99"/>
    <w:unhideWhenUsed/>
    <w:rsid w:val="00C325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5DB"/>
  </w:style>
  <w:style w:type="table" w:styleId="Tablaconcuadrcula">
    <w:name w:val="Table Grid"/>
    <w:basedOn w:val="Tablanormal"/>
    <w:uiPriority w:val="39"/>
    <w:rsid w:val="00C325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0685">
      <w:bodyDiv w:val="1"/>
      <w:marLeft w:val="0"/>
      <w:marRight w:val="0"/>
      <w:marTop w:val="0"/>
      <w:marBottom w:val="0"/>
      <w:divBdr>
        <w:top w:val="none" w:sz="0" w:space="0" w:color="auto"/>
        <w:left w:val="none" w:sz="0" w:space="0" w:color="auto"/>
        <w:bottom w:val="none" w:sz="0" w:space="0" w:color="auto"/>
        <w:right w:val="none" w:sz="0" w:space="0" w:color="auto"/>
      </w:divBdr>
      <w:divsChild>
        <w:div w:id="1165557880">
          <w:marLeft w:val="0"/>
          <w:marRight w:val="0"/>
          <w:marTop w:val="0"/>
          <w:marBottom w:val="0"/>
          <w:divBdr>
            <w:top w:val="none" w:sz="0" w:space="0" w:color="auto"/>
            <w:left w:val="none" w:sz="0" w:space="0" w:color="auto"/>
            <w:bottom w:val="none" w:sz="0" w:space="0" w:color="auto"/>
            <w:right w:val="none" w:sz="0" w:space="0" w:color="auto"/>
          </w:divBdr>
          <w:divsChild>
            <w:div w:id="974794083">
              <w:marLeft w:val="0"/>
              <w:marRight w:val="0"/>
              <w:marTop w:val="0"/>
              <w:marBottom w:val="0"/>
              <w:divBdr>
                <w:top w:val="none" w:sz="0" w:space="0" w:color="auto"/>
                <w:left w:val="none" w:sz="0" w:space="0" w:color="auto"/>
                <w:bottom w:val="none" w:sz="0" w:space="0" w:color="auto"/>
                <w:right w:val="none" w:sz="0" w:space="0" w:color="auto"/>
              </w:divBdr>
              <w:divsChild>
                <w:div w:id="591594831">
                  <w:marLeft w:val="0"/>
                  <w:marRight w:val="0"/>
                  <w:marTop w:val="120"/>
                  <w:marBottom w:val="0"/>
                  <w:divBdr>
                    <w:top w:val="none" w:sz="0" w:space="0" w:color="auto"/>
                    <w:left w:val="none" w:sz="0" w:space="0" w:color="auto"/>
                    <w:bottom w:val="none" w:sz="0" w:space="0" w:color="auto"/>
                    <w:right w:val="none" w:sz="0" w:space="0" w:color="auto"/>
                  </w:divBdr>
                  <w:divsChild>
                    <w:div w:id="1359311257">
                      <w:marLeft w:val="0"/>
                      <w:marRight w:val="0"/>
                      <w:marTop w:val="0"/>
                      <w:marBottom w:val="0"/>
                      <w:divBdr>
                        <w:top w:val="none" w:sz="0" w:space="0" w:color="auto"/>
                        <w:left w:val="none" w:sz="0" w:space="0" w:color="auto"/>
                        <w:bottom w:val="none" w:sz="0" w:space="0" w:color="auto"/>
                        <w:right w:val="none" w:sz="0" w:space="0" w:color="auto"/>
                      </w:divBdr>
                      <w:divsChild>
                        <w:div w:id="577978778">
                          <w:marLeft w:val="0"/>
                          <w:marRight w:val="0"/>
                          <w:marTop w:val="0"/>
                          <w:marBottom w:val="0"/>
                          <w:divBdr>
                            <w:top w:val="none" w:sz="0" w:space="0" w:color="auto"/>
                            <w:left w:val="none" w:sz="0" w:space="0" w:color="auto"/>
                            <w:bottom w:val="none" w:sz="0" w:space="0" w:color="auto"/>
                            <w:right w:val="none" w:sz="0" w:space="0" w:color="auto"/>
                          </w:divBdr>
                          <w:divsChild>
                            <w:div w:id="1891574735">
                              <w:marLeft w:val="0"/>
                              <w:marRight w:val="0"/>
                              <w:marTop w:val="0"/>
                              <w:marBottom w:val="0"/>
                              <w:divBdr>
                                <w:top w:val="none" w:sz="0" w:space="0" w:color="auto"/>
                                <w:left w:val="none" w:sz="0" w:space="0" w:color="auto"/>
                                <w:bottom w:val="none" w:sz="0" w:space="0" w:color="auto"/>
                                <w:right w:val="none" w:sz="0" w:space="0" w:color="auto"/>
                              </w:divBdr>
                            </w:div>
                            <w:div w:id="1448963495">
                              <w:marLeft w:val="0"/>
                              <w:marRight w:val="0"/>
                              <w:marTop w:val="0"/>
                              <w:marBottom w:val="0"/>
                              <w:divBdr>
                                <w:top w:val="none" w:sz="0" w:space="0" w:color="auto"/>
                                <w:left w:val="none" w:sz="0" w:space="0" w:color="auto"/>
                                <w:bottom w:val="none" w:sz="0" w:space="0" w:color="auto"/>
                                <w:right w:val="none" w:sz="0" w:space="0" w:color="auto"/>
                              </w:divBdr>
                            </w:div>
                            <w:div w:id="1150750241">
                              <w:marLeft w:val="0"/>
                              <w:marRight w:val="0"/>
                              <w:marTop w:val="0"/>
                              <w:marBottom w:val="0"/>
                              <w:divBdr>
                                <w:top w:val="none" w:sz="0" w:space="0" w:color="auto"/>
                                <w:left w:val="none" w:sz="0" w:space="0" w:color="auto"/>
                                <w:bottom w:val="none" w:sz="0" w:space="0" w:color="auto"/>
                                <w:right w:val="none" w:sz="0" w:space="0" w:color="auto"/>
                              </w:divBdr>
                            </w:div>
                            <w:div w:id="532035288">
                              <w:marLeft w:val="0"/>
                              <w:marRight w:val="0"/>
                              <w:marTop w:val="0"/>
                              <w:marBottom w:val="0"/>
                              <w:divBdr>
                                <w:top w:val="none" w:sz="0" w:space="0" w:color="auto"/>
                                <w:left w:val="none" w:sz="0" w:space="0" w:color="auto"/>
                                <w:bottom w:val="none" w:sz="0" w:space="0" w:color="auto"/>
                                <w:right w:val="none" w:sz="0" w:space="0" w:color="auto"/>
                              </w:divBdr>
                            </w:div>
                            <w:div w:id="198709665">
                              <w:marLeft w:val="0"/>
                              <w:marRight w:val="0"/>
                              <w:marTop w:val="0"/>
                              <w:marBottom w:val="0"/>
                              <w:divBdr>
                                <w:top w:val="none" w:sz="0" w:space="0" w:color="auto"/>
                                <w:left w:val="none" w:sz="0" w:space="0" w:color="auto"/>
                                <w:bottom w:val="none" w:sz="0" w:space="0" w:color="auto"/>
                                <w:right w:val="none" w:sz="0" w:space="0" w:color="auto"/>
                              </w:divBdr>
                            </w:div>
                            <w:div w:id="1501694860">
                              <w:marLeft w:val="0"/>
                              <w:marRight w:val="0"/>
                              <w:marTop w:val="0"/>
                              <w:marBottom w:val="0"/>
                              <w:divBdr>
                                <w:top w:val="none" w:sz="0" w:space="0" w:color="auto"/>
                                <w:left w:val="none" w:sz="0" w:space="0" w:color="auto"/>
                                <w:bottom w:val="none" w:sz="0" w:space="0" w:color="auto"/>
                                <w:right w:val="none" w:sz="0" w:space="0" w:color="auto"/>
                              </w:divBdr>
                            </w:div>
                            <w:div w:id="135880344">
                              <w:marLeft w:val="0"/>
                              <w:marRight w:val="0"/>
                              <w:marTop w:val="0"/>
                              <w:marBottom w:val="0"/>
                              <w:divBdr>
                                <w:top w:val="none" w:sz="0" w:space="0" w:color="auto"/>
                                <w:left w:val="none" w:sz="0" w:space="0" w:color="auto"/>
                                <w:bottom w:val="none" w:sz="0" w:space="0" w:color="auto"/>
                                <w:right w:val="none" w:sz="0" w:space="0" w:color="auto"/>
                              </w:divBdr>
                            </w:div>
                            <w:div w:id="281614481">
                              <w:marLeft w:val="0"/>
                              <w:marRight w:val="0"/>
                              <w:marTop w:val="0"/>
                              <w:marBottom w:val="0"/>
                              <w:divBdr>
                                <w:top w:val="none" w:sz="0" w:space="0" w:color="auto"/>
                                <w:left w:val="none" w:sz="0" w:space="0" w:color="auto"/>
                                <w:bottom w:val="none" w:sz="0" w:space="0" w:color="auto"/>
                                <w:right w:val="none" w:sz="0" w:space="0" w:color="auto"/>
                              </w:divBdr>
                            </w:div>
                            <w:div w:id="15276461">
                              <w:marLeft w:val="0"/>
                              <w:marRight w:val="0"/>
                              <w:marTop w:val="0"/>
                              <w:marBottom w:val="0"/>
                              <w:divBdr>
                                <w:top w:val="none" w:sz="0" w:space="0" w:color="auto"/>
                                <w:left w:val="none" w:sz="0" w:space="0" w:color="auto"/>
                                <w:bottom w:val="none" w:sz="0" w:space="0" w:color="auto"/>
                                <w:right w:val="none" w:sz="0" w:space="0" w:color="auto"/>
                              </w:divBdr>
                            </w:div>
                            <w:div w:id="375160058">
                              <w:marLeft w:val="0"/>
                              <w:marRight w:val="0"/>
                              <w:marTop w:val="0"/>
                              <w:marBottom w:val="0"/>
                              <w:divBdr>
                                <w:top w:val="none" w:sz="0" w:space="0" w:color="auto"/>
                                <w:left w:val="none" w:sz="0" w:space="0" w:color="auto"/>
                                <w:bottom w:val="none" w:sz="0" w:space="0" w:color="auto"/>
                                <w:right w:val="none" w:sz="0" w:space="0" w:color="auto"/>
                              </w:divBdr>
                            </w:div>
                            <w:div w:id="923610072">
                              <w:marLeft w:val="0"/>
                              <w:marRight w:val="0"/>
                              <w:marTop w:val="0"/>
                              <w:marBottom w:val="0"/>
                              <w:divBdr>
                                <w:top w:val="none" w:sz="0" w:space="0" w:color="auto"/>
                                <w:left w:val="none" w:sz="0" w:space="0" w:color="auto"/>
                                <w:bottom w:val="none" w:sz="0" w:space="0" w:color="auto"/>
                                <w:right w:val="none" w:sz="0" w:space="0" w:color="auto"/>
                              </w:divBdr>
                            </w:div>
                            <w:div w:id="383603262">
                              <w:marLeft w:val="0"/>
                              <w:marRight w:val="0"/>
                              <w:marTop w:val="0"/>
                              <w:marBottom w:val="0"/>
                              <w:divBdr>
                                <w:top w:val="none" w:sz="0" w:space="0" w:color="auto"/>
                                <w:left w:val="none" w:sz="0" w:space="0" w:color="auto"/>
                                <w:bottom w:val="none" w:sz="0" w:space="0" w:color="auto"/>
                                <w:right w:val="none" w:sz="0" w:space="0" w:color="auto"/>
                              </w:divBdr>
                            </w:div>
                            <w:div w:id="701173990">
                              <w:marLeft w:val="0"/>
                              <w:marRight w:val="0"/>
                              <w:marTop w:val="0"/>
                              <w:marBottom w:val="0"/>
                              <w:divBdr>
                                <w:top w:val="none" w:sz="0" w:space="0" w:color="auto"/>
                                <w:left w:val="none" w:sz="0" w:space="0" w:color="auto"/>
                                <w:bottom w:val="none" w:sz="0" w:space="0" w:color="auto"/>
                                <w:right w:val="none" w:sz="0" w:space="0" w:color="auto"/>
                              </w:divBdr>
                            </w:div>
                            <w:div w:id="1520269632">
                              <w:marLeft w:val="0"/>
                              <w:marRight w:val="0"/>
                              <w:marTop w:val="0"/>
                              <w:marBottom w:val="0"/>
                              <w:divBdr>
                                <w:top w:val="none" w:sz="0" w:space="0" w:color="auto"/>
                                <w:left w:val="none" w:sz="0" w:space="0" w:color="auto"/>
                                <w:bottom w:val="none" w:sz="0" w:space="0" w:color="auto"/>
                                <w:right w:val="none" w:sz="0" w:space="0" w:color="auto"/>
                              </w:divBdr>
                            </w:div>
                            <w:div w:id="950358511">
                              <w:marLeft w:val="0"/>
                              <w:marRight w:val="0"/>
                              <w:marTop w:val="0"/>
                              <w:marBottom w:val="0"/>
                              <w:divBdr>
                                <w:top w:val="none" w:sz="0" w:space="0" w:color="auto"/>
                                <w:left w:val="none" w:sz="0" w:space="0" w:color="auto"/>
                                <w:bottom w:val="none" w:sz="0" w:space="0" w:color="auto"/>
                                <w:right w:val="none" w:sz="0" w:space="0" w:color="auto"/>
                              </w:divBdr>
                            </w:div>
                            <w:div w:id="1752697769">
                              <w:marLeft w:val="0"/>
                              <w:marRight w:val="0"/>
                              <w:marTop w:val="0"/>
                              <w:marBottom w:val="0"/>
                              <w:divBdr>
                                <w:top w:val="none" w:sz="0" w:space="0" w:color="auto"/>
                                <w:left w:val="none" w:sz="0" w:space="0" w:color="auto"/>
                                <w:bottom w:val="none" w:sz="0" w:space="0" w:color="auto"/>
                                <w:right w:val="none" w:sz="0" w:space="0" w:color="auto"/>
                              </w:divBdr>
                            </w:div>
                            <w:div w:id="1861426897">
                              <w:marLeft w:val="0"/>
                              <w:marRight w:val="0"/>
                              <w:marTop w:val="0"/>
                              <w:marBottom w:val="0"/>
                              <w:divBdr>
                                <w:top w:val="none" w:sz="0" w:space="0" w:color="auto"/>
                                <w:left w:val="none" w:sz="0" w:space="0" w:color="auto"/>
                                <w:bottom w:val="none" w:sz="0" w:space="0" w:color="auto"/>
                                <w:right w:val="none" w:sz="0" w:space="0" w:color="auto"/>
                              </w:divBdr>
                            </w:div>
                            <w:div w:id="1316832590">
                              <w:marLeft w:val="0"/>
                              <w:marRight w:val="0"/>
                              <w:marTop w:val="0"/>
                              <w:marBottom w:val="0"/>
                              <w:divBdr>
                                <w:top w:val="none" w:sz="0" w:space="0" w:color="auto"/>
                                <w:left w:val="none" w:sz="0" w:space="0" w:color="auto"/>
                                <w:bottom w:val="none" w:sz="0" w:space="0" w:color="auto"/>
                                <w:right w:val="none" w:sz="0" w:space="0" w:color="auto"/>
                              </w:divBdr>
                            </w:div>
                            <w:div w:id="1333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5493">
      <w:bodyDiv w:val="1"/>
      <w:marLeft w:val="0"/>
      <w:marRight w:val="0"/>
      <w:marTop w:val="0"/>
      <w:marBottom w:val="0"/>
      <w:divBdr>
        <w:top w:val="none" w:sz="0" w:space="0" w:color="auto"/>
        <w:left w:val="none" w:sz="0" w:space="0" w:color="auto"/>
        <w:bottom w:val="none" w:sz="0" w:space="0" w:color="auto"/>
        <w:right w:val="none" w:sz="0" w:space="0" w:color="auto"/>
      </w:divBdr>
    </w:div>
    <w:div w:id="262416352">
      <w:bodyDiv w:val="1"/>
      <w:marLeft w:val="0"/>
      <w:marRight w:val="0"/>
      <w:marTop w:val="0"/>
      <w:marBottom w:val="0"/>
      <w:divBdr>
        <w:top w:val="none" w:sz="0" w:space="0" w:color="auto"/>
        <w:left w:val="none" w:sz="0" w:space="0" w:color="auto"/>
        <w:bottom w:val="none" w:sz="0" w:space="0" w:color="auto"/>
        <w:right w:val="none" w:sz="0" w:space="0" w:color="auto"/>
      </w:divBdr>
    </w:div>
    <w:div w:id="345643954">
      <w:bodyDiv w:val="1"/>
      <w:marLeft w:val="0"/>
      <w:marRight w:val="0"/>
      <w:marTop w:val="0"/>
      <w:marBottom w:val="0"/>
      <w:divBdr>
        <w:top w:val="none" w:sz="0" w:space="0" w:color="auto"/>
        <w:left w:val="none" w:sz="0" w:space="0" w:color="auto"/>
        <w:bottom w:val="none" w:sz="0" w:space="0" w:color="auto"/>
        <w:right w:val="none" w:sz="0" w:space="0" w:color="auto"/>
      </w:divBdr>
    </w:div>
    <w:div w:id="612054370">
      <w:bodyDiv w:val="1"/>
      <w:marLeft w:val="0"/>
      <w:marRight w:val="0"/>
      <w:marTop w:val="0"/>
      <w:marBottom w:val="0"/>
      <w:divBdr>
        <w:top w:val="none" w:sz="0" w:space="0" w:color="auto"/>
        <w:left w:val="none" w:sz="0" w:space="0" w:color="auto"/>
        <w:bottom w:val="none" w:sz="0" w:space="0" w:color="auto"/>
        <w:right w:val="none" w:sz="0" w:space="0" w:color="auto"/>
      </w:divBdr>
    </w:div>
    <w:div w:id="1048720594">
      <w:bodyDiv w:val="1"/>
      <w:marLeft w:val="0"/>
      <w:marRight w:val="0"/>
      <w:marTop w:val="0"/>
      <w:marBottom w:val="0"/>
      <w:divBdr>
        <w:top w:val="none" w:sz="0" w:space="0" w:color="auto"/>
        <w:left w:val="none" w:sz="0" w:space="0" w:color="auto"/>
        <w:bottom w:val="none" w:sz="0" w:space="0" w:color="auto"/>
        <w:right w:val="none" w:sz="0" w:space="0" w:color="auto"/>
      </w:divBdr>
    </w:div>
    <w:div w:id="1430855434">
      <w:bodyDiv w:val="1"/>
      <w:marLeft w:val="0"/>
      <w:marRight w:val="0"/>
      <w:marTop w:val="0"/>
      <w:marBottom w:val="0"/>
      <w:divBdr>
        <w:top w:val="none" w:sz="0" w:space="0" w:color="auto"/>
        <w:left w:val="none" w:sz="0" w:space="0" w:color="auto"/>
        <w:bottom w:val="none" w:sz="0" w:space="0" w:color="auto"/>
        <w:right w:val="none" w:sz="0" w:space="0" w:color="auto"/>
      </w:divBdr>
    </w:div>
    <w:div w:id="1574192765">
      <w:bodyDiv w:val="1"/>
      <w:marLeft w:val="0"/>
      <w:marRight w:val="0"/>
      <w:marTop w:val="0"/>
      <w:marBottom w:val="0"/>
      <w:divBdr>
        <w:top w:val="none" w:sz="0" w:space="0" w:color="auto"/>
        <w:left w:val="none" w:sz="0" w:space="0" w:color="auto"/>
        <w:bottom w:val="none" w:sz="0" w:space="0" w:color="auto"/>
        <w:right w:val="none" w:sz="0" w:space="0" w:color="auto"/>
      </w:divBdr>
    </w:div>
    <w:div w:id="18896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2692-CB13-4DF1-BCF2-6605FA5D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1958</Words>
  <Characters>10772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IEPAC</cp:lastModifiedBy>
  <cp:revision>13</cp:revision>
  <dcterms:created xsi:type="dcterms:W3CDTF">2021-05-08T23:21:00Z</dcterms:created>
  <dcterms:modified xsi:type="dcterms:W3CDTF">2021-05-12T23:56:00Z</dcterms:modified>
</cp:coreProperties>
</file>