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0996E534" w:rsidR="00F43F5B" w:rsidRDefault="008F6519" w:rsidP="00F43F5B">
      <w:pPr>
        <w:jc w:val="center"/>
        <w:rPr>
          <w:rFonts w:ascii="Arial" w:hAnsi="Arial" w:cs="Arial"/>
          <w:b/>
          <w:bCs/>
          <w:sz w:val="24"/>
          <w:szCs w:val="24"/>
        </w:rPr>
      </w:pPr>
      <w:bookmarkStart w:id="0" w:name="_Hlk71040431"/>
      <w:r>
        <w:rPr>
          <w:rFonts w:ascii="Arial" w:hAnsi="Arial" w:cs="Arial"/>
          <w:b/>
          <w:bCs/>
          <w:sz w:val="24"/>
          <w:szCs w:val="24"/>
        </w:rPr>
        <w:t xml:space="preserve"> </w:t>
      </w:r>
      <w:bookmarkStart w:id="1" w:name="_GoBack"/>
      <w:bookmarkEnd w:id="1"/>
      <w:r w:rsidR="00F43F5B">
        <w:rPr>
          <w:rFonts w:ascii="Arial" w:hAnsi="Arial" w:cs="Arial"/>
          <w:b/>
          <w:bCs/>
          <w:sz w:val="24"/>
          <w:szCs w:val="24"/>
        </w:rPr>
        <w:t>ACUERDO CM/</w:t>
      </w:r>
      <w:r w:rsidR="00771E1D">
        <w:rPr>
          <w:rFonts w:ascii="Arial" w:hAnsi="Arial" w:cs="Arial"/>
          <w:b/>
          <w:bCs/>
          <w:sz w:val="24"/>
          <w:szCs w:val="24"/>
        </w:rPr>
        <w:t>015/2021/SACALUM</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54C27D89"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771E1D">
        <w:rPr>
          <w:rFonts w:ascii="Arial" w:hAnsi="Arial" w:cs="Arial"/>
          <w:sz w:val="24"/>
          <w:szCs w:val="24"/>
        </w:rPr>
        <w:t>Sacalum Yucatán</w:t>
      </w:r>
      <w:r>
        <w:rPr>
          <w:rFonts w:ascii="Arial" w:hAnsi="Arial" w:cs="Arial"/>
          <w:sz w:val="24"/>
          <w:szCs w:val="24"/>
        </w:rPr>
        <w:t>,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06A6944C" w:rsidR="004D1C96" w:rsidRDefault="00771E1D" w:rsidP="009644E9">
      <w:pPr>
        <w:jc w:val="both"/>
        <w:rPr>
          <w:rFonts w:ascii="Arial" w:hAnsi="Arial" w:cs="Arial"/>
          <w:sz w:val="24"/>
          <w:szCs w:val="24"/>
        </w:rPr>
      </w:pPr>
      <w:r>
        <w:rPr>
          <w:rFonts w:ascii="Arial" w:hAnsi="Arial" w:cs="Arial"/>
          <w:b/>
          <w:bCs/>
          <w:sz w:val="24"/>
          <w:szCs w:val="24"/>
        </w:rPr>
        <w:t>PRIMERO. -</w:t>
      </w:r>
      <w:r w:rsidR="009644E9">
        <w:rPr>
          <w:rFonts w:ascii="Arial" w:hAnsi="Arial" w:cs="Arial"/>
          <w:b/>
          <w:bCs/>
          <w:sz w:val="24"/>
          <w:szCs w:val="24"/>
        </w:rPr>
        <w:t xml:space="preserve"> </w:t>
      </w:r>
      <w:r w:rsidR="009644E9" w:rsidRPr="009644E9">
        <w:rPr>
          <w:rFonts w:ascii="Arial" w:hAnsi="Arial" w:cs="Arial"/>
          <w:sz w:val="24"/>
          <w:szCs w:val="24"/>
        </w:rPr>
        <w:t xml:space="preserve">Se aprueba el </w:t>
      </w:r>
      <w:r w:rsidR="009644E9">
        <w:rPr>
          <w:rFonts w:ascii="Arial" w:hAnsi="Arial" w:cs="Arial"/>
          <w:sz w:val="24"/>
          <w:szCs w:val="24"/>
        </w:rPr>
        <w:t>M</w:t>
      </w:r>
      <w:r w:rsidR="009644E9" w:rsidRPr="009644E9">
        <w:rPr>
          <w:rFonts w:ascii="Arial" w:hAnsi="Arial" w:cs="Arial"/>
          <w:sz w:val="24"/>
          <w:szCs w:val="24"/>
        </w:rPr>
        <w:t xml:space="preserve">odelo </w:t>
      </w:r>
      <w:r w:rsidR="009644E9">
        <w:rPr>
          <w:rFonts w:ascii="Arial" w:hAnsi="Arial" w:cs="Arial"/>
          <w:sz w:val="24"/>
          <w:szCs w:val="24"/>
        </w:rPr>
        <w:t>O</w:t>
      </w:r>
      <w:r w:rsidR="009644E9" w:rsidRPr="009644E9">
        <w:rPr>
          <w:rFonts w:ascii="Arial" w:hAnsi="Arial" w:cs="Arial"/>
          <w:sz w:val="24"/>
          <w:szCs w:val="24"/>
        </w:rPr>
        <w:t xml:space="preserve">perativo de </w:t>
      </w:r>
      <w:r w:rsidR="009644E9">
        <w:rPr>
          <w:rFonts w:ascii="Arial" w:hAnsi="Arial" w:cs="Arial"/>
          <w:sz w:val="24"/>
          <w:szCs w:val="24"/>
        </w:rPr>
        <w:t>R</w:t>
      </w:r>
      <w:r w:rsidR="009644E9"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10F893E7" w:rsidR="009644E9" w:rsidRDefault="00771E1D" w:rsidP="009644E9">
      <w:pPr>
        <w:jc w:val="both"/>
        <w:rPr>
          <w:rFonts w:ascii="Arial" w:hAnsi="Arial" w:cs="Arial"/>
          <w:sz w:val="24"/>
          <w:szCs w:val="24"/>
        </w:rPr>
      </w:pPr>
      <w:r>
        <w:rPr>
          <w:rFonts w:ascii="Arial" w:hAnsi="Arial" w:cs="Arial"/>
          <w:b/>
          <w:bCs/>
          <w:sz w:val="24"/>
          <w:szCs w:val="24"/>
        </w:rPr>
        <w:t>TERCERO</w:t>
      </w:r>
      <w:r w:rsidRPr="009644E9">
        <w:rPr>
          <w:rFonts w:ascii="Arial" w:hAnsi="Arial" w:cs="Arial"/>
          <w:b/>
          <w:bCs/>
          <w:sz w:val="24"/>
          <w:szCs w:val="24"/>
        </w:rPr>
        <w:t>. -</w:t>
      </w:r>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2E2F565D" w:rsidR="009644E9" w:rsidRDefault="00771E1D" w:rsidP="009644E9">
      <w:pPr>
        <w:jc w:val="both"/>
        <w:rPr>
          <w:rFonts w:ascii="Arial" w:hAnsi="Arial" w:cs="Arial"/>
          <w:sz w:val="24"/>
          <w:szCs w:val="24"/>
        </w:rPr>
      </w:pPr>
      <w:r>
        <w:rPr>
          <w:rFonts w:ascii="Arial" w:hAnsi="Arial" w:cs="Arial"/>
          <w:b/>
          <w:bCs/>
          <w:sz w:val="24"/>
          <w:szCs w:val="24"/>
        </w:rPr>
        <w:t>CUARTO</w:t>
      </w:r>
      <w:r w:rsidRPr="009644E9">
        <w:rPr>
          <w:rFonts w:ascii="Arial" w:hAnsi="Arial" w:cs="Arial"/>
          <w:b/>
          <w:bCs/>
          <w:sz w:val="24"/>
          <w:szCs w:val="24"/>
        </w:rPr>
        <w:t>. -</w:t>
      </w:r>
      <w:r w:rsidR="009644E9">
        <w:rPr>
          <w:rFonts w:ascii="Arial" w:hAnsi="Arial" w:cs="Arial"/>
          <w:sz w:val="24"/>
          <w:szCs w:val="24"/>
        </w:rPr>
        <w:t xml:space="preserve"> Notifíquese el presente Acuerdo mediante estrados de este Consejo Municipal para los fines legales correspondientes.</w:t>
      </w:r>
    </w:p>
    <w:p w14:paraId="5D49DA3E" w14:textId="724BAA46" w:rsidR="009644E9" w:rsidRPr="00771E1D" w:rsidRDefault="009644E9" w:rsidP="009644E9">
      <w:pPr>
        <w:jc w:val="both"/>
        <w:rPr>
          <w:rFonts w:ascii="Arial" w:hAnsi="Arial" w:cs="Arial"/>
          <w:sz w:val="24"/>
          <w:szCs w:val="24"/>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771E1D">
        <w:rPr>
          <w:rFonts w:ascii="Arial" w:hAnsi="Arial" w:cs="Arial"/>
          <w:sz w:val="24"/>
          <w:szCs w:val="24"/>
        </w:rPr>
        <w:t>Sacalum</w:t>
      </w:r>
      <w:r w:rsidRPr="00771E1D">
        <w:rPr>
          <w:rFonts w:ascii="Arial" w:hAnsi="Arial" w:cs="Arial"/>
          <w:sz w:val="24"/>
          <w:szCs w:val="24"/>
        </w:rPr>
        <w:t xml:space="preserve">, Yucatán, celebrada el día </w:t>
      </w:r>
      <w:r w:rsidR="00771E1D">
        <w:rPr>
          <w:rFonts w:ascii="Arial" w:hAnsi="Arial" w:cs="Arial"/>
          <w:sz w:val="24"/>
          <w:szCs w:val="24"/>
        </w:rPr>
        <w:t>doce</w:t>
      </w:r>
      <w:r w:rsidRPr="00771E1D">
        <w:rPr>
          <w:rFonts w:ascii="Arial" w:hAnsi="Arial" w:cs="Arial"/>
          <w:sz w:val="24"/>
          <w:szCs w:val="24"/>
        </w:rPr>
        <w:t xml:space="preserve"> de </w:t>
      </w:r>
      <w:r w:rsidR="00771E1D">
        <w:rPr>
          <w:rFonts w:ascii="Arial" w:hAnsi="Arial" w:cs="Arial"/>
          <w:sz w:val="24"/>
          <w:szCs w:val="24"/>
        </w:rPr>
        <w:t>mayo</w:t>
      </w:r>
      <w:r w:rsidRPr="00771E1D">
        <w:rPr>
          <w:rFonts w:ascii="Arial" w:hAnsi="Arial" w:cs="Arial"/>
          <w:sz w:val="24"/>
          <w:szCs w:val="24"/>
        </w:rPr>
        <w:t xml:space="preserve"> de dos mil veintiuno, por </w:t>
      </w:r>
      <w:r w:rsidR="00771E1D">
        <w:rPr>
          <w:rFonts w:ascii="Arial" w:hAnsi="Arial" w:cs="Arial"/>
          <w:sz w:val="24"/>
          <w:szCs w:val="24"/>
        </w:rPr>
        <w:t>unanimidad de</w:t>
      </w:r>
      <w:r w:rsidRPr="00771E1D">
        <w:rPr>
          <w:rFonts w:ascii="Arial" w:hAnsi="Arial" w:cs="Arial"/>
          <w:sz w:val="24"/>
          <w:szCs w:val="24"/>
        </w:rPr>
        <w:t xml:space="preserve"> votos de los C.C. Consejeras y Consejeros Electorales</w:t>
      </w:r>
      <w:r w:rsidR="00771E1D">
        <w:rPr>
          <w:rFonts w:ascii="Arial" w:hAnsi="Arial" w:cs="Arial"/>
          <w:sz w:val="24"/>
          <w:szCs w:val="24"/>
        </w:rPr>
        <w:t>: GLORIA MARÍA MALDONADO CHAN, EDUAR ALEJANDRO CHAN TEH</w:t>
      </w:r>
      <w:r w:rsidR="003335F1">
        <w:rPr>
          <w:rFonts w:ascii="Arial" w:hAnsi="Arial" w:cs="Arial"/>
          <w:sz w:val="24"/>
          <w:szCs w:val="24"/>
        </w:rPr>
        <w:t xml:space="preserve"> Y</w:t>
      </w:r>
      <w:r w:rsidR="00771E1D">
        <w:rPr>
          <w:rFonts w:ascii="Arial" w:hAnsi="Arial" w:cs="Arial"/>
          <w:sz w:val="24"/>
          <w:szCs w:val="24"/>
        </w:rPr>
        <w:t xml:space="preserve"> REANIEL DE JESUS VARGUEZ FLORES. </w:t>
      </w:r>
    </w:p>
    <w:p w14:paraId="76ACA611" w14:textId="77777777" w:rsidR="00AD198D" w:rsidRPr="00771E1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rsidRPr="00771E1D" w14:paraId="4B3BA905" w14:textId="77777777" w:rsidTr="009644E9">
        <w:tc>
          <w:tcPr>
            <w:tcW w:w="4414" w:type="dxa"/>
          </w:tcPr>
          <w:p w14:paraId="75465D2E" w14:textId="658D01F1" w:rsidR="009644E9" w:rsidRPr="004734A1" w:rsidRDefault="00771E1D" w:rsidP="00771E1D">
            <w:pPr>
              <w:spacing w:after="0"/>
              <w:jc w:val="center"/>
              <w:rPr>
                <w:rFonts w:ascii="Arial" w:hAnsi="Arial" w:cs="Arial"/>
                <w:sz w:val="24"/>
                <w:szCs w:val="24"/>
              </w:rPr>
            </w:pPr>
            <w:r w:rsidRPr="004734A1">
              <w:rPr>
                <w:rFonts w:ascii="Arial" w:hAnsi="Arial" w:cs="Arial"/>
                <w:noProof/>
                <w:sz w:val="24"/>
                <w:szCs w:val="24"/>
              </w:rPr>
              <mc:AlternateContent>
                <mc:Choice Requires="wps">
                  <w:drawing>
                    <wp:anchor distT="0" distB="0" distL="114300" distR="114300" simplePos="0" relativeHeight="251659264" behindDoc="0" locked="0" layoutInCell="1" allowOverlap="1" wp14:anchorId="1B1CC6B7" wp14:editId="0ECB1FAF">
                      <wp:simplePos x="0" y="0"/>
                      <wp:positionH relativeFrom="column">
                        <wp:posOffset>349885</wp:posOffset>
                      </wp:positionH>
                      <wp:positionV relativeFrom="paragraph">
                        <wp:posOffset>155575</wp:posOffset>
                      </wp:positionV>
                      <wp:extent cx="19050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55EF8"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12.25pt" to="177.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" strokecolor="black [3200]" strokeweight="1pt">
                      <v:stroke joinstyle="miter"/>
                    </v:line>
                  </w:pict>
                </mc:Fallback>
              </mc:AlternateContent>
            </w:r>
          </w:p>
        </w:tc>
        <w:tc>
          <w:tcPr>
            <w:tcW w:w="4414" w:type="dxa"/>
          </w:tcPr>
          <w:p w14:paraId="277193B1" w14:textId="6A7A82DC" w:rsidR="009644E9" w:rsidRPr="00771E1D" w:rsidRDefault="004734A1">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8FB0EC1" wp14:editId="6DFC3EC6">
                      <wp:simplePos x="0" y="0"/>
                      <wp:positionH relativeFrom="column">
                        <wp:posOffset>372745</wp:posOffset>
                      </wp:positionH>
                      <wp:positionV relativeFrom="paragraph">
                        <wp:posOffset>149225</wp:posOffset>
                      </wp:positionV>
                      <wp:extent cx="1930400"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1930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55B05"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11.75pt" to="181.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" strokecolor="black [3200]" strokeweight="1pt">
                      <v:stroke joinstyle="miter"/>
                    </v:line>
                  </w:pict>
                </mc:Fallback>
              </mc:AlternateContent>
            </w:r>
          </w:p>
        </w:tc>
      </w:tr>
      <w:tr w:rsidR="009644E9" w14:paraId="37D4B0F2" w14:textId="77777777" w:rsidTr="009644E9">
        <w:trPr>
          <w:trHeight w:val="637"/>
        </w:trPr>
        <w:tc>
          <w:tcPr>
            <w:tcW w:w="4414" w:type="dxa"/>
            <w:hideMark/>
          </w:tcPr>
          <w:p w14:paraId="4ACFF5BD" w14:textId="0FE96E07" w:rsidR="009644E9" w:rsidRPr="00771E1D" w:rsidRDefault="004734A1">
            <w:pPr>
              <w:spacing w:after="0"/>
              <w:jc w:val="center"/>
              <w:rPr>
                <w:rFonts w:ascii="Arial" w:hAnsi="Arial" w:cs="Arial"/>
                <w:b/>
                <w:bCs/>
                <w:sz w:val="24"/>
                <w:szCs w:val="24"/>
              </w:rPr>
            </w:pPr>
            <w:r>
              <w:rPr>
                <w:rFonts w:ascii="Arial" w:hAnsi="Arial" w:cs="Arial"/>
                <w:b/>
                <w:bCs/>
                <w:sz w:val="24"/>
                <w:szCs w:val="24"/>
              </w:rPr>
              <w:t>C. EDUAR ALEJANDRO CHAN TEH</w:t>
            </w:r>
          </w:p>
          <w:p w14:paraId="27133418" w14:textId="6CCDF5C6" w:rsidR="009644E9" w:rsidRPr="00771E1D" w:rsidRDefault="009644E9">
            <w:pPr>
              <w:spacing w:after="0"/>
              <w:jc w:val="center"/>
              <w:rPr>
                <w:rFonts w:ascii="Arial" w:hAnsi="Arial" w:cs="Arial"/>
                <w:b/>
                <w:bCs/>
                <w:sz w:val="24"/>
                <w:szCs w:val="24"/>
              </w:rPr>
            </w:pPr>
            <w:r w:rsidRPr="00771E1D">
              <w:rPr>
                <w:rFonts w:ascii="Arial" w:hAnsi="Arial" w:cs="Arial"/>
                <w:b/>
                <w:bCs/>
                <w:sz w:val="24"/>
                <w:szCs w:val="24"/>
              </w:rPr>
              <w:t xml:space="preserve">Consejero </w:t>
            </w:r>
            <w:proofErr w:type="gramStart"/>
            <w:r w:rsidR="00771E1D">
              <w:rPr>
                <w:rFonts w:ascii="Arial" w:hAnsi="Arial" w:cs="Arial"/>
                <w:b/>
                <w:bCs/>
                <w:sz w:val="24"/>
                <w:szCs w:val="24"/>
              </w:rPr>
              <w:t>P</w:t>
            </w:r>
            <w:r w:rsidR="00771E1D" w:rsidRPr="00771E1D">
              <w:rPr>
                <w:rFonts w:ascii="Arial" w:hAnsi="Arial" w:cs="Arial"/>
                <w:b/>
                <w:bCs/>
                <w:sz w:val="24"/>
                <w:szCs w:val="24"/>
              </w:rPr>
              <w:t>residente</w:t>
            </w:r>
            <w:proofErr w:type="gramEnd"/>
          </w:p>
        </w:tc>
        <w:tc>
          <w:tcPr>
            <w:tcW w:w="4414" w:type="dxa"/>
            <w:hideMark/>
          </w:tcPr>
          <w:p w14:paraId="26C24DCB" w14:textId="1AFDB01F" w:rsidR="009644E9" w:rsidRPr="00771E1D" w:rsidRDefault="004734A1">
            <w:pPr>
              <w:spacing w:after="0"/>
              <w:jc w:val="center"/>
              <w:rPr>
                <w:rFonts w:ascii="Arial" w:hAnsi="Arial" w:cs="Arial"/>
                <w:b/>
                <w:bCs/>
                <w:sz w:val="24"/>
                <w:szCs w:val="24"/>
              </w:rPr>
            </w:pPr>
            <w:r>
              <w:rPr>
                <w:rFonts w:ascii="Arial" w:hAnsi="Arial" w:cs="Arial"/>
                <w:b/>
                <w:bCs/>
                <w:sz w:val="24"/>
                <w:szCs w:val="24"/>
              </w:rPr>
              <w:t>C. JOSE LUIS INTERIAN VILLAFAÑA</w:t>
            </w:r>
          </w:p>
          <w:p w14:paraId="072F2CC2" w14:textId="2E5340B1" w:rsidR="009644E9" w:rsidRPr="00771E1D" w:rsidRDefault="009644E9">
            <w:pPr>
              <w:spacing w:after="0"/>
              <w:jc w:val="center"/>
              <w:rPr>
                <w:rFonts w:ascii="Arial" w:hAnsi="Arial" w:cs="Arial"/>
                <w:b/>
                <w:bCs/>
                <w:sz w:val="24"/>
                <w:szCs w:val="24"/>
              </w:rPr>
            </w:pPr>
            <w:r w:rsidRPr="00771E1D">
              <w:rPr>
                <w:rFonts w:ascii="Arial" w:hAnsi="Arial" w:cs="Arial"/>
                <w:b/>
                <w:bCs/>
                <w:sz w:val="24"/>
                <w:szCs w:val="24"/>
              </w:rPr>
              <w:t>Secretario Ejecutiv</w:t>
            </w:r>
            <w:r w:rsidR="00771E1D">
              <w:rPr>
                <w:rFonts w:ascii="Arial" w:hAnsi="Arial" w:cs="Arial"/>
                <w:b/>
                <w:bCs/>
                <w:sz w:val="24"/>
                <w:szCs w:val="24"/>
              </w:rPr>
              <w:t>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75B" w14:textId="77777777" w:rsidR="00D47F6D" w:rsidRDefault="00D47F6D" w:rsidP="00C325DB">
      <w:pPr>
        <w:spacing w:after="0" w:line="240" w:lineRule="auto"/>
      </w:pPr>
      <w:r>
        <w:separator/>
      </w:r>
    </w:p>
  </w:endnote>
  <w:endnote w:type="continuationSeparator" w:id="0">
    <w:p w14:paraId="32F540F0" w14:textId="77777777" w:rsidR="00D47F6D" w:rsidRDefault="00D47F6D"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3D2CA" w14:textId="77777777" w:rsidR="00D47F6D" w:rsidRDefault="00D47F6D" w:rsidP="00C325DB">
      <w:pPr>
        <w:spacing w:after="0" w:line="240" w:lineRule="auto"/>
      </w:pPr>
      <w:r>
        <w:separator/>
      </w:r>
    </w:p>
  </w:footnote>
  <w:footnote w:type="continuationSeparator" w:id="0">
    <w:p w14:paraId="5FDDD231" w14:textId="77777777" w:rsidR="00D47F6D" w:rsidRDefault="00D47F6D"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335F1"/>
    <w:rsid w:val="0034482A"/>
    <w:rsid w:val="00362BA5"/>
    <w:rsid w:val="00370FB9"/>
    <w:rsid w:val="00383FC9"/>
    <w:rsid w:val="00401662"/>
    <w:rsid w:val="00427782"/>
    <w:rsid w:val="0044310E"/>
    <w:rsid w:val="004734A1"/>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1E1D"/>
    <w:rsid w:val="007760F6"/>
    <w:rsid w:val="008063DA"/>
    <w:rsid w:val="008113FC"/>
    <w:rsid w:val="008173D9"/>
    <w:rsid w:val="00845B41"/>
    <w:rsid w:val="008918C4"/>
    <w:rsid w:val="008E3456"/>
    <w:rsid w:val="008F6519"/>
    <w:rsid w:val="00916A45"/>
    <w:rsid w:val="00931189"/>
    <w:rsid w:val="009644E9"/>
    <w:rsid w:val="00964C71"/>
    <w:rsid w:val="009D2E44"/>
    <w:rsid w:val="009E2439"/>
    <w:rsid w:val="009F1716"/>
    <w:rsid w:val="00A03B23"/>
    <w:rsid w:val="00A375DB"/>
    <w:rsid w:val="00A651DC"/>
    <w:rsid w:val="00A75BD7"/>
    <w:rsid w:val="00A900B1"/>
    <w:rsid w:val="00A97FA9"/>
    <w:rsid w:val="00AA7D61"/>
    <w:rsid w:val="00AB7C80"/>
    <w:rsid w:val="00AD198D"/>
    <w:rsid w:val="00B4406F"/>
    <w:rsid w:val="00B7008B"/>
    <w:rsid w:val="00B87005"/>
    <w:rsid w:val="00BA142A"/>
    <w:rsid w:val="00BD3780"/>
    <w:rsid w:val="00BD7EFE"/>
    <w:rsid w:val="00C325DB"/>
    <w:rsid w:val="00C451E3"/>
    <w:rsid w:val="00C47EB5"/>
    <w:rsid w:val="00C8098F"/>
    <w:rsid w:val="00C90991"/>
    <w:rsid w:val="00CC212D"/>
    <w:rsid w:val="00CD7A89"/>
    <w:rsid w:val="00CF6F0A"/>
    <w:rsid w:val="00D30485"/>
    <w:rsid w:val="00D47F6D"/>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8F6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6482-AF2F-4FC9-BB88-FA435B9A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1969</Words>
  <Characters>10832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15</cp:revision>
  <cp:lastPrinted>2021-05-13T00:07:00Z</cp:lastPrinted>
  <dcterms:created xsi:type="dcterms:W3CDTF">2021-05-08T23:21:00Z</dcterms:created>
  <dcterms:modified xsi:type="dcterms:W3CDTF">2021-05-13T00:13:00Z</dcterms:modified>
</cp:coreProperties>
</file>